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LPL Investment Holdings Inc.</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Beacon Street, Boston, MA 02108</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(Former name, Former address)</w:t>
      </w:r>
    </w:p>
    <w:p>
      <w:pPr>
        <w:spacing w:after="0" w:line="144"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July 17, 2012 was 111,069,074.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41"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26035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0"/>
                <w:szCs w:val="20"/>
                <w:color w:val="auto"/>
              </w:rPr>
            </w:pPr>
            <w:r>
              <w:rPr>
                <w:rFonts w:ascii="Arial" w:cs="Arial" w:eastAsia="Arial" w:hAnsi="Arial"/>
                <w:sz w:val="18"/>
                <w:szCs w:val="18"/>
                <w:b w:val="1"/>
                <w:bCs w:val="1"/>
                <w:color w:val="0000FF"/>
              </w:rPr>
              <w:t>2.</w:t>
            </w:r>
          </w:p>
        </w:tc>
        <w:tc>
          <w:tcPr>
            <w:tcW w:w="7660" w:type="dxa"/>
            <w:vAlign w:val="bottom"/>
            <w:gridSpan w:val="19"/>
          </w:tcPr>
          <w:p>
            <w:pPr>
              <w:ind w:left="20"/>
              <w:spacing w:after="0"/>
              <w:rPr>
                <w:sz w:val="20"/>
                <w:szCs w:val="20"/>
                <w:color w:val="auto"/>
              </w:rPr>
            </w:pPr>
            <w:r>
              <w:rPr>
                <w:rFonts w:ascii="Arial" w:cs="Arial" w:eastAsia="Arial" w:hAnsi="Arial"/>
                <w:sz w:val="18"/>
                <w:szCs w:val="18"/>
                <w:b w:val="1"/>
                <w:bCs w:val="1"/>
                <w:color w:val="0000FF"/>
                <w:w w:val="99"/>
              </w:rPr>
              <w:t>Management’s Discussion and Analysis of Financial Condition and Results of Operations</w:t>
            </w:r>
          </w:p>
        </w:tc>
        <w:tc>
          <w:tcPr>
            <w:tcW w:w="35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5">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55</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58">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59">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59">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59">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59">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900" w:right="25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00" w:right="259" w:bottom="572"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10 -K,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48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the “firm”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projected costs, plans, liquidity and ability and plans to pay future dividends, as well as any other statements that are not purely historical, constitute forward-looking statements. These forward-looking statements are based on the Company's historical performance and its plans, estimates and expectations as of August 1, 2012.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fluctuations in the value of assets under management; effects of competition in the financial services industry; changes in the number of the Company's financial advisors and institutions, and their ability to market effectively financial products and services; the Company's success in integrating the operations of acquired businesses; the effect of current, pending and future legislation, regulation and regulatory actions; and the other factors set forth in Part I, “Item 1A. Risk Factors” in the Company's 2011 Annual Report on Form 10-K. For example, the Company may be unable to successfully integrate the systems and operations related to our acquisitions of Concord Wealth Management, Fortigent Holdings Company, Inc. and Veritat Advisors Inc. and realize the expected synergies from these transactions. Except as required by law, the Company specifically disclaims any obligation to update any forward-looking statements as a result of developments occurring after the date of this quarterly report, even if its estimates change, and you should not rely on those statements as representing the Company's views as of any date subsequent to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9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40"/>
              <w:spacing w:after="0"/>
              <w:rPr>
                <w:sz w:val="20"/>
                <w:szCs w:val="20"/>
                <w:color w:val="auto"/>
              </w:rPr>
            </w:pPr>
            <w:r>
              <w:rPr>
                <w:rFonts w:ascii="Arial" w:cs="Arial" w:eastAsia="Arial" w:hAnsi="Arial"/>
                <w:sz w:val="18"/>
                <w:szCs w:val="18"/>
                <w:color w:val="auto"/>
              </w:rPr>
              <w:t>Commissions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447,243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459,882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910,896</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911,759</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 fees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264,289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519,173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508,376</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Asset-based fees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102,784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90,504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200,025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180,327</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 fees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153,466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142,504</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16,546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5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907,843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893,996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1,809,616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1,767,865</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Commissions and advisory fees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620,582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624,687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1,237,974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1,219,365</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93,034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182,046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165,552</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42,953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34,325</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36,572</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18,199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31,320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27,919</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19,050</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18,696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Regulatory fees and expenses</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827,096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800,363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1,629,450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1,574,502</w:t>
            </w:r>
          </w:p>
        </w:tc>
        <w:tc>
          <w:tcPr>
            <w:tcW w:w="0" w:type="dxa"/>
            <w:vAlign w:val="bottom"/>
          </w:tcPr>
          <w:p>
            <w:pPr>
              <w:spacing w:after="0"/>
              <w:rPr>
                <w:sz w:val="1"/>
                <w:szCs w:val="1"/>
                <w:color w:val="auto"/>
              </w:rPr>
            </w:pPr>
          </w:p>
        </w:tc>
      </w:tr>
      <w:tr>
        <w:trPr>
          <w:trHeight w:val="263"/>
        </w:trPr>
        <w:tc>
          <w:tcPr>
            <w:tcW w:w="504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840,535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818,517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1,675,445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1,610,828</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67,308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157,037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27,806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29,972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62,531</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94,506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(Note 12):</w:t>
            </w: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4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57"/>
        </w:trPr>
        <w:tc>
          <w:tcPr>
            <w:tcW w:w="5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241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2800" w:type="dxa"/>
            <w:vAlign w:val="bottom"/>
          </w:tcPr>
          <w:p>
            <w:pPr>
              <w:spacing w:after="0"/>
              <w:rPr>
                <w:sz w:val="21"/>
                <w:szCs w:val="21"/>
                <w:color w:val="auto"/>
              </w:rPr>
            </w:pPr>
          </w:p>
        </w:tc>
        <w:tc>
          <w:tcPr>
            <w:tcW w:w="810" w:type="dxa"/>
            <w:vAlign w:val="bottom"/>
          </w:tcPr>
          <w:p>
            <w:pPr>
              <w:spacing w:after="0"/>
              <w:rPr>
                <w:sz w:val="21"/>
                <w:szCs w:val="21"/>
                <w:color w:val="auto"/>
              </w:rPr>
            </w:pPr>
          </w:p>
        </w:tc>
        <w:tc>
          <w:tcPr>
            <w:tcW w:w="241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r>
      <w:tr>
        <w:trPr>
          <w:trHeight w:val="264"/>
        </w:trPr>
        <w:tc>
          <w:tcPr>
            <w:tcW w:w="2800" w:type="dxa"/>
            <w:vAlign w:val="bottom"/>
            <w:tcBorders>
              <w:bottom w:val="single" w:sz="8" w:color="CCEEFF"/>
            </w:tcBorders>
          </w:tcPr>
          <w:p>
            <w:pPr>
              <w:spacing w:after="0"/>
              <w:rPr>
                <w:sz w:val="22"/>
                <w:szCs w:val="22"/>
                <w:color w:val="auto"/>
              </w:rPr>
            </w:pPr>
          </w:p>
        </w:tc>
        <w:tc>
          <w:tcPr>
            <w:tcW w:w="810" w:type="dxa"/>
            <w:vAlign w:val="bottom"/>
            <w:tcBorders>
              <w:bottom w:val="single" w:sz="8" w:color="CCEEFF"/>
            </w:tcBorders>
          </w:tcPr>
          <w:p>
            <w:pPr>
              <w:spacing w:after="0"/>
              <w:rPr>
                <w:sz w:val="22"/>
                <w:szCs w:val="22"/>
                <w:color w:val="auto"/>
              </w:rPr>
            </w:pPr>
          </w:p>
        </w:tc>
        <w:tc>
          <w:tcPr>
            <w:tcW w:w="241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57"/>
        </w:trPr>
        <w:tc>
          <w:tcPr>
            <w:tcW w:w="6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94,506</w:t>
            </w:r>
          </w:p>
        </w:tc>
      </w:tr>
      <w:tr>
        <w:trPr>
          <w:trHeight w:val="263"/>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5"/>
        </w:trPr>
        <w:tc>
          <w:tcPr>
            <w:tcW w:w="6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Unrealized gain on interest rate swaps,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3"/>
        </w:trPr>
        <w:tc>
          <w:tcPr>
            <w:tcW w:w="28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w w:val="98"/>
              </w:rPr>
              <w:t>net of tax expense of $273</w:t>
            </w:r>
          </w:p>
        </w:tc>
        <w:tc>
          <w:tcPr>
            <w:tcW w:w="81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and $879</w:t>
            </w:r>
          </w:p>
        </w:tc>
        <w:tc>
          <w:tcPr>
            <w:tcW w:w="2410" w:type="dxa"/>
            <w:vAlign w:val="bottom"/>
            <w:shd w:val="clear" w:color="auto" w:fill="CCEEFF"/>
          </w:tcPr>
          <w:p>
            <w:pPr>
              <w:ind w:left="30"/>
              <w:spacing w:after="0" w:line="202" w:lineRule="exact"/>
              <w:rPr>
                <w:sz w:val="20"/>
                <w:szCs w:val="20"/>
                <w:color w:val="auto"/>
              </w:rPr>
            </w:pPr>
            <w:r>
              <w:rPr>
                <w:rFonts w:ascii="Arial" w:cs="Arial" w:eastAsia="Arial" w:hAnsi="Arial"/>
                <w:sz w:val="18"/>
                <w:szCs w:val="18"/>
                <w:color w:val="auto"/>
              </w:rPr>
              <w:t>for the three months ended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80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June 30, 2012 and 2011,</w:t>
            </w: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 $527 and $1,700 for the six</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4"/>
        </w:trPr>
        <w:tc>
          <w:tcPr>
            <w:tcW w:w="60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months ended June 30, 2012 and 2011,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r>
      <w:tr>
        <w:trPr>
          <w:trHeight w:val="250"/>
        </w:trPr>
        <w:tc>
          <w:tcPr>
            <w:tcW w:w="6020" w:type="dxa"/>
            <w:vAlign w:val="bottom"/>
            <w:tcBorders>
              <w:bottom w:val="single" w:sz="8" w:color="CCEEFF"/>
            </w:tcBorders>
            <w:gridSpan w:val="3"/>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2,745</w:t>
            </w:r>
          </w:p>
        </w:tc>
      </w:tr>
      <w:tr>
        <w:trPr>
          <w:trHeight w:val="257"/>
        </w:trPr>
        <w:tc>
          <w:tcPr>
            <w:tcW w:w="6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97,251</w:t>
            </w:r>
          </w:p>
        </w:tc>
      </w:tr>
      <w:tr>
        <w:trPr>
          <w:trHeight w:val="20"/>
        </w:trPr>
        <w:tc>
          <w:tcPr>
            <w:tcW w:w="2800" w:type="dxa"/>
            <w:vAlign w:val="bottom"/>
          </w:tcPr>
          <w:p>
            <w:pPr>
              <w:spacing w:after="0" w:line="20" w:lineRule="exact"/>
              <w:rPr>
                <w:sz w:val="1"/>
                <w:szCs w:val="1"/>
                <w:color w:val="auto"/>
              </w:rPr>
            </w:pPr>
          </w:p>
        </w:tc>
        <w:tc>
          <w:tcPr>
            <w:tcW w:w="810" w:type="dxa"/>
            <w:vAlign w:val="bottom"/>
          </w:tcPr>
          <w:p>
            <w:pPr>
              <w:spacing w:after="0" w:line="20" w:lineRule="exact"/>
              <w:rPr>
                <w:sz w:val="1"/>
                <w:szCs w:val="1"/>
                <w:color w:val="auto"/>
              </w:rPr>
            </w:pPr>
          </w:p>
        </w:tc>
        <w:tc>
          <w:tcPr>
            <w:tcW w:w="241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8"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481,056</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321,937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382,905</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$575 at June 30, 2012 and $716 at December 31, 2011</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293,028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301,292</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Product sponsors, broker-dealers and clearing organizations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131,649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143,493</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$8,373 at June 30, 2012 and $8,833 at December 31, 2011</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200,382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187,408</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11,167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$319,342 at June 30, 2012 and $305,143 at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109,171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91,317</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$2,661 at June 30, 2012 and $19,197 at 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23,497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18,620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1,362,153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1,334,086</w:t>
            </w:r>
          </w:p>
        </w:tc>
        <w:tc>
          <w:tcPr>
            <w:tcW w:w="0" w:type="dxa"/>
            <w:vAlign w:val="bottom"/>
          </w:tcPr>
          <w:p>
            <w:pPr>
              <w:spacing w:after="0"/>
              <w:rPr>
                <w:sz w:val="1"/>
                <w:szCs w:val="1"/>
                <w:color w:val="auto"/>
              </w:rPr>
            </w:pPr>
          </w:p>
        </w:tc>
      </w:tr>
      <w:tr>
        <w:trPr>
          <w:trHeight w:val="218"/>
        </w:trPr>
        <w:tc>
          <w:tcPr>
            <w:tcW w:w="836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$217,919 at June 30, 2012 and $198,139 at 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180"/>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523,290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537,670</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119,203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73,416</w:t>
            </w:r>
          </w:p>
        </w:tc>
        <w:tc>
          <w:tcPr>
            <w:tcW w:w="0" w:type="dxa"/>
            <w:vAlign w:val="bottom"/>
          </w:tcPr>
          <w:p>
            <w:pPr>
              <w:spacing w:after="0"/>
              <w:rPr>
                <w:sz w:val="1"/>
                <w:szCs w:val="1"/>
                <w:color w:val="auto"/>
              </w:rPr>
            </w:pPr>
          </w:p>
        </w:tc>
      </w:tr>
      <w:tr>
        <w:trPr>
          <w:trHeight w:val="28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3,599,411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jc w:val="center"/>
              <w:ind w:left="2979"/>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187,575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404,860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456,719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34,755</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commissions and advisory fees payable</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97,968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109,715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169,461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161,937</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59,537</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1,339,275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1,332,668</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 net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127,766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2,380,008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2,471,578</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180"/>
              <w:spacing w:after="0"/>
              <w:rPr>
                <w:sz w:val="20"/>
                <w:szCs w:val="20"/>
                <w:color w:val="auto"/>
              </w:rPr>
            </w:pPr>
            <w:r>
              <w:rPr>
                <w:rFonts w:ascii="Arial" w:cs="Arial" w:eastAsia="Arial" w:hAnsi="Arial"/>
                <w:sz w:val="16"/>
                <w:szCs w:val="16"/>
                <w:color w:val="auto"/>
              </w:rPr>
              <w:t>Common stock, $.001 par value; 600,000,000 shares authorized; 115,329,081 shares issued at June 30, 2012</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340"/>
              <w:spacing w:after="0"/>
              <w:rPr>
                <w:sz w:val="20"/>
                <w:szCs w:val="20"/>
                <w:color w:val="auto"/>
              </w:rPr>
            </w:pPr>
            <w:r>
              <w:rPr>
                <w:rFonts w:ascii="Arial" w:cs="Arial" w:eastAsia="Arial" w:hAnsi="Arial"/>
                <w:sz w:val="16"/>
                <w:szCs w:val="16"/>
                <w:color w:val="auto"/>
              </w:rPr>
              <w:t>and 110,531,939 shares issued at December 31, 2011</w:t>
            </w: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1,209,293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1,137,723</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Treasury stock, at cost — 4,322,512 shares at June 30, 2012 and 2,617,629 shares at December 31, 2011</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(144,931)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(89,037)</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154,926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296,802</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1,219,403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1,344,748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3,599,411</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3,816,326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1,051,722</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1,173,755</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94,506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97,251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(79,568)</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6,971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6,972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9,199</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55,847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55,847</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June 30, 2011</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1,123,739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1,263,456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80,681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81,531</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units (Note 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 (Note 11)</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(55,894)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(55,894)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(222,557)</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11,097</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11,099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12,072</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48,404</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48,404</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June 30,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115,329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1,209,293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1,219,403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31750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41"/>
        </w:trPr>
        <w:tc>
          <w:tcPr>
            <w:tcW w:w="8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80,681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94,506</w:t>
            </w: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36,572</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2,546</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9,199</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(55,847)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of intangible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 forgiveness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7"/>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60,968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147,746</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clients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42,987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others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(18,675)</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Securities owned</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borrowed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(17,397)</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Drafts payable</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(44,702)</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Payables to clients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31,519</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Accrued commissions and advisory fees payable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(19,072)</w:t>
            </w:r>
          </w:p>
        </w:tc>
      </w:tr>
      <w:tr>
        <w:trPr>
          <w:trHeight w:val="277"/>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(27,476)</w:t>
            </w:r>
          </w:p>
        </w:tc>
      </w:tr>
      <w:tr>
        <w:trPr>
          <w:trHeight w:val="263"/>
        </w:trPr>
        <w:tc>
          <w:tcPr>
            <w:tcW w:w="8560" w:type="dxa"/>
            <w:vAlign w:val="bottom"/>
          </w:tcPr>
          <w:p>
            <w:pPr>
              <w:ind w:left="68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40,592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181,828</w:t>
            </w:r>
          </w:p>
        </w:tc>
      </w:tr>
      <w:tr>
        <w:trPr>
          <w:trHeight w:val="270"/>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Unearned revenue</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10,460</w:t>
            </w:r>
          </w:p>
        </w:tc>
      </w:tr>
      <w:tr>
        <w:trPr>
          <w:trHeight w:val="250"/>
        </w:trPr>
        <w:tc>
          <w:tcPr>
            <w:tcW w:w="856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56,113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349,716</w:t>
            </w:r>
          </w:p>
        </w:tc>
      </w:tr>
      <w:tr>
        <w:trPr>
          <w:trHeight w:val="864"/>
        </w:trPr>
        <w:tc>
          <w:tcPr>
            <w:tcW w:w="8560" w:type="dxa"/>
            <w:vAlign w:val="bottom"/>
          </w:tcPr>
          <w:p>
            <w:pPr>
              <w:ind w:left="5660"/>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LPL FINANCIAL HOLDINGS INC. AND SUBSIDIARIES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Condensed Consolidated Statements of Cash Flows - (Continued)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(Dollars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41"/>
        </w:trPr>
        <w:tc>
          <w:tcPr>
            <w:tcW w:w="85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of restricted cash</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Release of restricted cash</w:t>
            </w: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18,546</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(Note 3)</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Repayment of senior secured credit facilities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(1,343,393)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(46,986)</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senior secured credit facilities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1,330,681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(66,976)</w:t>
            </w:r>
          </w:p>
        </w:tc>
        <w:tc>
          <w:tcPr>
            <w:tcW w:w="0" w:type="dxa"/>
            <w:vAlign w:val="bottom"/>
          </w:tcPr>
          <w:p>
            <w:pPr>
              <w:spacing w:after="0"/>
              <w:rPr>
                <w:sz w:val="1"/>
                <w:szCs w:val="1"/>
                <w:color w:val="auto"/>
              </w:rPr>
            </w:pPr>
          </w:p>
        </w:tc>
      </w:tr>
      <w:tr>
        <w:trPr>
          <w:trHeight w:val="263"/>
        </w:trPr>
        <w:tc>
          <w:tcPr>
            <w:tcW w:w="8560" w:type="dxa"/>
            <w:vAlign w:val="bottom"/>
          </w:tcPr>
          <w:p>
            <w:pPr>
              <w:ind w:left="360"/>
              <w:spacing w:after="0"/>
              <w:rPr>
                <w:sz w:val="20"/>
                <w:szCs w:val="20"/>
                <w:color w:val="auto"/>
              </w:rPr>
            </w:pPr>
            <w:r>
              <w:rPr>
                <w:rFonts w:ascii="Arial" w:cs="Arial" w:eastAsia="Arial" w:hAnsi="Arial"/>
                <w:sz w:val="18"/>
                <w:szCs w:val="18"/>
                <w:color w:val="auto"/>
              </w:rPr>
              <w:t>Dividends on common stock</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(222,557)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stock options and warrants exercised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11,099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50"/>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(236,091)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(51,143)</w:t>
            </w:r>
          </w:p>
        </w:tc>
        <w:tc>
          <w:tcPr>
            <w:tcW w:w="0" w:type="dxa"/>
            <w:vAlign w:val="bottom"/>
          </w:tcPr>
          <w:p>
            <w:pPr>
              <w:spacing w:after="0"/>
              <w:rPr>
                <w:sz w:val="1"/>
                <w:szCs w:val="1"/>
                <w:color w:val="auto"/>
              </w:rPr>
            </w:pPr>
          </w:p>
        </w:tc>
      </w:tr>
      <w:tr>
        <w:trPr>
          <w:trHeight w:val="250"/>
        </w:trPr>
        <w:tc>
          <w:tcPr>
            <w:tcW w:w="8560" w:type="dxa"/>
            <w:vAlign w:val="bottom"/>
          </w:tcPr>
          <w:p>
            <w:pPr>
              <w:ind w:left="8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262,263</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720,772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419,208</w:t>
            </w: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481,056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681,471</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29,570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36,362</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80"/>
              <w:spacing w:after="0"/>
              <w:rPr>
                <w:sz w:val="20"/>
                <w:szCs w:val="20"/>
                <w:color w:val="auto"/>
              </w:rPr>
            </w:pPr>
            <w:r>
              <w:rPr>
                <w:rFonts w:ascii="Arial" w:cs="Arial" w:eastAsia="Arial" w:hAnsi="Arial"/>
                <w:sz w:val="18"/>
                <w:szCs w:val="18"/>
                <w:color w:val="auto"/>
              </w:rPr>
              <w:t>NONCASH DISCLOSURES: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 purchased through short-term credit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Fixed assets acquired under build-to-suit lease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on interest rate swaps, net of tax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Discount on proceeds from senior secured credit facilities recorded as debt issuance costs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Pending settlement of treasury stock purchases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LPL Financial Holdings Inc. (“LPLFH”), formerly known as LPL Investment Holdings Inc.,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the Company provides access to diversified financial products and services enabling its advisors to offer independent financial advice and brokerage services, using integrated technology, to retail investors (their “clients”).</w:t>
      </w:r>
    </w:p>
    <w:p>
      <w:pPr>
        <w:spacing w:after="0" w:line="1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16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2011, contained in the Company’s Annual Report on Form 10-K as filed with the SEC. The Company has evaluated subsequent events up to and including the date these unaudited condensed consolidated financial statements were issued.</w:t>
      </w:r>
    </w:p>
    <w:p>
      <w:pPr>
        <w:spacing w:after="0" w:line="187"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6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In accordance with Accounting Standards Update No. 2011-05,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 — Presentation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adopted in the first quarter of 2012, the Company presents its unaudited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separately and immediately following its unaudited condensed consolidated statements of income. The Company’s comprehensive income is composed of net income and the effective portion of the unrealized gains on financial derivatives in cash flow hedge relationships, net of related tax effects.</w:t>
      </w:r>
    </w:p>
    <w:p>
      <w:pPr>
        <w:spacing w:after="0" w:line="13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contingencies and litigation, valuation and recognition of share-based payments, dividends and income taxes. These accounting policies are stated in the notes to the audited consolidated financial statements for the year ended December 31, 2011,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41"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characteristics, products and services, production and distribution process, regulatory environment and quantitative thresholds.</w:t>
      </w:r>
    </w:p>
    <w:p>
      <w:pPr>
        <w:spacing w:after="0" w:line="203"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5 for additional detail regarding the Company’s fair value measurements. As of June 30, 2012, the carrying amount and fair value of the Company’s indebtedness was approximately $1,339.3 million and $1,306.8 million, respectively. As of December 31, 2011, the carrying amount and fair value was approximately $1,332.7 million and $1,328.2 million, respectively.</w:t>
      </w:r>
    </w:p>
    <w:p>
      <w:pPr>
        <w:spacing w:after="0" w:line="183"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There were no recently issued accounting pronouncements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pronouncements as compared to the recent accounting pronouncements described in the Company’s 2011 Annual Report on Form 10-K, that are of significance, or potential significance to the Company.</w:t>
      </w:r>
    </w:p>
    <w:p>
      <w:pPr>
        <w:spacing w:after="0" w:line="16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Company completed several acquisitions in 2011 and 2012, including National Retirement Partners, Inc. ("NRP"), Concord Capital Partners ("Concord") and Fortigent Holdings Company, Inc. The pro forma results of operations and the results of operations for acquisitions since the acquisition dates have not been separately disclosed because the effects were not significant enough to the consolidated financial statements, individually or in the aggregate. See Note 3 in the 2011 Annual Report on Form 10-K for further discussion of the NRP and Concord acquisitions.</w:t>
      </w:r>
    </w:p>
    <w:p>
      <w:pPr>
        <w:spacing w:after="0" w:line="16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Each of the purchase prices for NRP and Concord included initial cash payments, as well as future payment considerations. In accordance with the acquisition agreements, the former owners have the right to receive certain future payments contingent upon reaching certain revenue-based and gross margin-based milestones. These contingent consideration liabilities are measured at fair value on a quarterly basis based on progress towards the defined milestones (see Note 5).</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Fortigent Holdings Company, Inc.</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April 23, 2012, the Company acquired all of the outstanding common stock of Fortigent Holdings Company, Inc. and its wholly owned subsidiaries Fortigent, LLC, Fortigent Reporting Company, LLC, and Fortigent Strategies Company, LLC (together, "Fortigent"). Fortigent is a leading provider of high net worth solutions and consulting services to registered investment advisors, banks, and trust companies. This strategic acquisition further enhances the Company's capabilities and offers an extension of the Company's existing services for wealth management advisors.</w:t>
      </w:r>
    </w:p>
    <w:p>
      <w:pPr>
        <w:spacing w:after="0" w:line="16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paid $38.8 million at the closing of the transaction, net of cash acquired. As of June 30, 2012, $9.9 million remains in an escrow account to be paid to former shareholders of Fortigent in accordance with the terms of the stock purchase agreement. Such amount has been classified by the Company as restricted cash and is included in other assets on the unaudited condensed consolidated statements of financial condition. Goodwill resulting from this business combination is largely attributable to the existing workforce of Fortigent and synergies expected to arise after the Company's acquisition of Fortigent. The Company cumulatively incurred transaction costs associated with its acquisition of Fortigent totaling $1.2 million; $0.7 million of which were recorded during the six months ended June 30, 2012, and are included in other expenses in the unaudited condensed consolidated statements of income.</w:t>
      </w:r>
    </w:p>
    <w:p>
      <w:pPr>
        <w:spacing w:after="0" w:line="16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in the process of finalizing the purchase allocation; therefore, the provisional measures of goodwill, intangibles and fixed assets are subject to change.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4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assets acquired and liabilities assumed during the six months ended June 30,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5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28,067</w:t>
            </w:r>
          </w:p>
        </w:tc>
        <w:tc>
          <w:tcPr>
            <w:tcW w:w="0" w:type="dxa"/>
            <w:vAlign w:val="bottom"/>
          </w:tcPr>
          <w:p>
            <w:pPr>
              <w:spacing w:after="0"/>
              <w:rPr>
                <w:sz w:val="1"/>
                <w:szCs w:val="1"/>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57"/>
        </w:trPr>
        <w:tc>
          <w:tcPr>
            <w:tcW w:w="9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5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assets acquired from Fortigent relate primarily to internally developed software, which is being amortized over 5 years.</w:t>
      </w:r>
    </w:p>
    <w:p>
      <w:pPr>
        <w:spacing w:after="0" w:line="29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Set forth below is supplemental cash flow information in connection with the Fortigent acquisition for the six months ended June 30, 2012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40"/>
              <w:spacing w:after="0"/>
              <w:rPr>
                <w:sz w:val="20"/>
                <w:szCs w:val="20"/>
                <w:color w:val="auto"/>
              </w:rPr>
            </w:pPr>
            <w:r>
              <w:rPr>
                <w:rFonts w:ascii="Arial" w:cs="Arial" w:eastAsia="Arial" w:hAnsi="Arial"/>
                <w:sz w:val="18"/>
                <w:szCs w:val="18"/>
                <w:color w:val="auto"/>
              </w:rPr>
              <w:t>Cash payments, net of cash acquired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28,866</w:t>
            </w:r>
          </w:p>
        </w:tc>
      </w:tr>
      <w:tr>
        <w:trPr>
          <w:trHeight w:val="257"/>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held in escrow</w:t>
            </w: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9,900</w:t>
            </w:r>
          </w:p>
        </w:tc>
      </w:tr>
      <w:tr>
        <w:trPr>
          <w:trHeight w:val="257"/>
        </w:trPr>
        <w:tc>
          <w:tcPr>
            <w:tcW w:w="982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38,766</w:t>
            </w: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Company preliminarily allocated the estimated purchase price for intangibles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8000" w:type="dxa"/>
            <w:vAlign w:val="bottom"/>
          </w:tcPr>
          <w:p>
            <w:pPr>
              <w:spacing w:after="0"/>
              <w:rPr>
                <w:sz w:val="17"/>
                <w:szCs w:val="17"/>
                <w:color w:val="auto"/>
              </w:rPr>
            </w:pPr>
          </w:p>
        </w:tc>
        <w:tc>
          <w:tcPr>
            <w:tcW w:w="18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000" w:type="dxa"/>
            <w:vAlign w:val="bottom"/>
          </w:tcPr>
          <w:p>
            <w:pPr>
              <w:spacing w:after="0"/>
              <w:rPr>
                <w:sz w:val="17"/>
                <w:szCs w:val="17"/>
                <w:color w:val="auto"/>
              </w:rPr>
            </w:pPr>
          </w:p>
        </w:tc>
        <w:tc>
          <w:tcPr>
            <w:tcW w:w="182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17"/>
                <w:szCs w:val="17"/>
                <w:color w:val="auto"/>
              </w:rPr>
            </w:pPr>
          </w:p>
        </w:tc>
        <w:tc>
          <w:tcPr>
            <w:tcW w:w="136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Amount</w:t>
            </w:r>
          </w:p>
        </w:tc>
      </w:tr>
      <w:tr>
        <w:trPr>
          <w:trHeight w:val="246"/>
        </w:trPr>
        <w:tc>
          <w:tcPr>
            <w:tcW w:w="80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57"/>
        </w:trPr>
        <w:tc>
          <w:tcPr>
            <w:tcW w:w="8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70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w:t>
            </w:r>
          </w:p>
        </w:tc>
      </w:tr>
      <w:tr>
        <w:trPr>
          <w:trHeight w:val="264"/>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10.0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w:t>
            </w:r>
          </w:p>
        </w:tc>
      </w:tr>
      <w:tr>
        <w:trPr>
          <w:trHeight w:val="257"/>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Fortigent</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0"/>
        </w:trPr>
        <w:tc>
          <w:tcPr>
            <w:tcW w:w="8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Restructuring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LLC ("LPL Financial"). The restructuring plan was effected to enhance the Company’s service offering, while also generating efficiencies. In connection with the consolidation, certain registered representatives associated with UVEST moved to LPL Financial through a transfer of their licenses. The Company completed the transfers in December 2011. Following the transfer of registered representatives and client accounts to LPL Financial, all registered representatives and client accounts are associated with LPL Financial and all of the Company’s securities business is done through a single broker-dealer. UVEST has withdrawn its registration with the Financial Industry Regulatory Authority ("FINRA") effective July 16, 2012 and is no longer subject to net capital filing requirements.</w:t>
      </w:r>
    </w:p>
    <w:p>
      <w:pPr>
        <w:spacing w:after="0" w:line="16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$31.6 million over the course of the restructuring plan. These expenditures are comprised of advisor retention and related benefits, contract penalties,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six months ended June 30, 2012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Cumulative Costs</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Incurred</w:t>
            </w: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Non-cash</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at June 30, 2012</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Incurred to Date</w:t>
            </w:r>
          </w:p>
        </w:tc>
        <w:tc>
          <w:tcPr>
            <w:tcW w:w="200" w:type="dxa"/>
            <w:vAlign w:val="bottom"/>
          </w:tcPr>
          <w:p>
            <w:pPr>
              <w:spacing w:after="0"/>
              <w:rPr>
                <w:sz w:val="17"/>
                <w:szCs w:val="17"/>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Costs(1)</w:t>
            </w:r>
          </w:p>
        </w:tc>
        <w:tc>
          <w:tcPr>
            <w:tcW w:w="0" w:type="dxa"/>
            <w:vAlign w:val="bottom"/>
          </w:tcPr>
          <w:p>
            <w:pPr>
              <w:spacing w:after="0"/>
              <w:rPr>
                <w:sz w:val="1"/>
                <w:szCs w:val="1"/>
                <w:color w:val="auto"/>
              </w:rPr>
            </w:pP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and transfer</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263"/>
        </w:trPr>
        <w:tc>
          <w:tcPr>
            <w:tcW w:w="2240" w:type="dxa"/>
            <w:vAlign w:val="bottom"/>
          </w:tcPr>
          <w:p>
            <w:pPr>
              <w:ind w:left="40"/>
              <w:spacing w:after="0"/>
              <w:rPr>
                <w:sz w:val="20"/>
                <w:szCs w:val="20"/>
                <w:color w:val="auto"/>
              </w:rPr>
            </w:pPr>
            <w:r>
              <w:rPr>
                <w:rFonts w:ascii="Arial" w:cs="Arial" w:eastAsia="Arial" w:hAnsi="Arial"/>
                <w:sz w:val="18"/>
                <w:szCs w:val="18"/>
                <w:color w:val="auto"/>
              </w:rPr>
              <w:t>Contract penalties</w:t>
            </w:r>
          </w:p>
        </w:tc>
        <w:tc>
          <w:tcPr>
            <w:tcW w:w="16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benefits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57"/>
        </w:trPr>
        <w:tc>
          <w:tcPr>
            <w:tcW w:w="2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10,158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right="20" w:hanging="332"/>
        <w:spacing w:after="0" w:line="25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30, 2012, total expected restructuring costs exclude approximately $12.0 million of internally developed software related to the corporate restructuring initiative that is being capitalized over a useful life ranging from three to five years, with expense being recorded as depreciation and amortization within the unaudited condensed consolidated statements of income. As of June 30, 2012, approximately $13.5 million has been spent on development activities of which approximately $10.7 million has been capitalized, with the remainder included in costs incurred. The Company anticipates capitalizing an additional $1.3 million of internally developed software in the remainder of 2012.</w:t>
      </w:r>
    </w:p>
    <w:p>
      <w:pPr>
        <w:spacing w:after="0" w:line="18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20" w:hanging="120"/>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rFonts w:ascii="Arial" w:cs="Arial" w:eastAsia="Arial" w:hAnsi="Arial"/>
          <w:sz w:val="18"/>
          <w:szCs w:val="18"/>
          <w:color w:val="auto"/>
        </w:rPr>
      </w:pPr>
    </w:p>
    <w:p>
      <w:pPr>
        <w:ind w:left="520" w:right="500" w:hanging="120"/>
        <w:spacing w:after="0" w:line="26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color w:val="auto"/>
        </w:rPr>
      </w:pPr>
    </w:p>
    <w:p>
      <w:pPr>
        <w:ind w:left="520" w:right="160" w:hanging="120"/>
        <w:spacing w:after="0" w:line="26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0"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six months ended June 30, 2012.</w:t>
      </w:r>
    </w:p>
    <w:p>
      <w:pPr>
        <w:spacing w:after="0" w:line="196"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2012, the Company had the following financial assets and liabilities that are measured at fair value on a recurring basis:</w:t>
      </w:r>
    </w:p>
    <w:p>
      <w:pPr>
        <w:spacing w:after="0" w:line="180" w:lineRule="exact"/>
        <w:rPr>
          <w:sz w:val="20"/>
          <w:szCs w:val="20"/>
          <w:color w:val="auto"/>
        </w:rPr>
      </w:pPr>
    </w:p>
    <w:p>
      <w:pPr>
        <w:ind w:right="76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53"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2012, the Company did not adjust prices received from the independent third-party pricing services. Securities sold, but not yet purchased are included in accounts payable and accrued liabilities in the unaudited condensed consolidated statements of financial position.</w:t>
      </w:r>
    </w:p>
    <w:p>
      <w:pPr>
        <w:spacing w:after="0" w:line="191" w:lineRule="exact"/>
        <w:rPr>
          <w:sz w:val="20"/>
          <w:szCs w:val="20"/>
          <w:color w:val="auto"/>
        </w:rPr>
      </w:pPr>
    </w:p>
    <w:p>
      <w:pPr>
        <w:ind w:right="1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ind w:right="22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Contingent Consideration Liabilities </w:t>
      </w:r>
      <w:r>
        <w:rPr>
          <w:rFonts w:ascii="Arial" w:cs="Arial" w:eastAsia="Arial" w:hAnsi="Arial"/>
          <w:sz w:val="18"/>
          <w:szCs w:val="18"/>
          <w:color w:val="auto"/>
        </w:rPr>
        <w:t>— The contingent consideration liabilities, which are included in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 the unaudited condensed consolidated statements of financial position, result from the Company's acquisitions of NRP and Concord.</w:t>
      </w:r>
    </w:p>
    <w:p>
      <w:pPr>
        <w:spacing w:after="0" w:line="12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Interest Rate Swap </w:t>
      </w:r>
      <w:r>
        <w:rPr>
          <w:rFonts w:ascii="Arial" w:cs="Arial" w:eastAsia="Arial" w:hAnsi="Arial"/>
          <w:sz w:val="18"/>
          <w:szCs w:val="18"/>
          <w:color w:val="auto"/>
        </w:rPr>
        <w:t>— The Company’s interest rate swap, which matured on June 30, 2012, was not traded on a market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the fair value was determined using models which included assumptions about the London Interbank Offered Rate (“LIBOR”) yield curve at interim reporting dates as well as counterparty credit risk and the Company’s own non-performance risk. Accordingly, the Company has classified the interest rate swap as a Level 2 measurement within the fair value hierarchy. At December 31, 2011, the interest rate swap is included in accounts payable and accrued liabilities in the unaudited condensed consolidated statements of financial position.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41"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June 30, 2012:</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298,152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298,152</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5,284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5,284</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134</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6,857</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26,657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26,657</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331,532</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331,666</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126</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414</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consideration liabilities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16,813</w:t>
            </w: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16,813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17,227</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contingent consideration liabilities, which result from the Company's acquisitions of NRP and Concord, represent future amounts the Company may be required to pay upon the achievement of certain finance milestones. The contingent consideration is recorded at its estimated fair value with any changes in fair value recognized in earnings. The fair value measurement is based on significant inputs unobservable in the market and thus represents a Level 3 measurement.</w:t>
      </w:r>
    </w:p>
    <w:p>
      <w:pPr>
        <w:spacing w:after="0" w:line="16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fair value of the contingent consideration is determined using financial forecasts, which estimate the probability and timing of certain revenue and gross margin milestones being reached, and discounting the associated cash payments to their present value using a risk-adjusted rate of return.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accretion of interest for the passage of time. Changes in the fair value of the contingent consideration obligation may result from changes in the terms of the contingent payments, changes in discount periods and rates, and changes in probability assumptions with respect to the timing and likelihood of achieving the certain financial targets. Actual progress toward achieving the financial targets for the remaining measurement periods may be different than the Company's expectations of future performance. Failure to meet current expectations of progress may reduce the probability of achieving the targets and may result in a reduction of the fair value of the contingent consideration liability.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the contingent consideration for the six months ended June 30, 2012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16,104</w:t>
            </w:r>
          </w:p>
        </w:tc>
      </w:tr>
      <w:tr>
        <w:trPr>
          <w:trHeight w:val="250"/>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Change in estimated fair value of contingent consideration liabilities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June 30, 2012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16,813</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575,243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575,243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4,966</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115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21,400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602,818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602,933</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consideration liabilities</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16,104</w:t>
            </w: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Interest rate swap</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1,377</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17,642</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Amortized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4"/>
          </w:tcPr>
          <w:p>
            <w:pPr>
              <w:ind w:left="40"/>
              <w:spacing w:after="0"/>
              <w:rPr>
                <w:sz w:val="20"/>
                <w:szCs w:val="20"/>
                <w:color w:val="auto"/>
              </w:rPr>
            </w:pPr>
            <w:r>
              <w:rPr>
                <w:rFonts w:ascii="Arial" w:cs="Arial" w:eastAsia="Arial" w:hAnsi="Arial"/>
                <w:sz w:val="16"/>
                <w:szCs w:val="16"/>
                <w:b w:val="1"/>
                <w:bCs w:val="1"/>
                <w:color w:val="auto"/>
              </w:rPr>
              <w:t>(Losses)/Gains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62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At June 30, 2012:</w:t>
            </w:r>
          </w:p>
        </w:tc>
        <w:tc>
          <w:tcPr>
            <w:tcW w:w="18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U.S. government notes</w:t>
            </w:r>
          </w:p>
        </w:tc>
        <w:tc>
          <w:tcPr>
            <w:tcW w:w="180" w:type="dxa"/>
            <w:vAlign w:val="bottom"/>
          </w:tcPr>
          <w:p>
            <w:pPr>
              <w:spacing w:after="0"/>
              <w:rPr>
                <w:sz w:val="22"/>
                <w:szCs w:val="22"/>
                <w:color w:val="auto"/>
              </w:rPr>
            </w:pPr>
          </w:p>
        </w:tc>
        <w:tc>
          <w:tcPr>
            <w:tcW w:w="13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10,154</w:t>
            </w:r>
          </w:p>
        </w:tc>
        <w:tc>
          <w:tcPr>
            <w:tcW w:w="80" w:type="dxa"/>
            <w:vAlign w:val="bottom"/>
          </w:tcPr>
          <w:p>
            <w:pPr>
              <w:spacing w:after="0"/>
              <w:rPr>
                <w:sz w:val="22"/>
                <w:szCs w:val="22"/>
                <w:color w:val="auto"/>
              </w:rPr>
            </w:pPr>
          </w:p>
        </w:tc>
        <w:tc>
          <w:tcPr>
            <w:tcW w:w="28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U.S. government notes</w:t>
            </w:r>
          </w:p>
        </w:tc>
        <w:tc>
          <w:tcPr>
            <w:tcW w:w="180" w:type="dxa"/>
            <w:vAlign w:val="bottom"/>
          </w:tcPr>
          <w:p>
            <w:pPr>
              <w:spacing w:after="0"/>
              <w:rPr>
                <w:sz w:val="22"/>
                <w:szCs w:val="22"/>
                <w:color w:val="auto"/>
              </w:rPr>
            </w:pPr>
          </w:p>
        </w:tc>
        <w:tc>
          <w:tcPr>
            <w:tcW w:w="13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11,167</w:t>
            </w:r>
          </w:p>
        </w:tc>
        <w:tc>
          <w:tcPr>
            <w:tcW w:w="80" w:type="dxa"/>
            <w:vAlign w:val="bottom"/>
          </w:tcPr>
          <w:p>
            <w:pPr>
              <w:spacing w:after="0"/>
              <w:rPr>
                <w:sz w:val="22"/>
                <w:szCs w:val="22"/>
                <w:color w:val="auto"/>
              </w:rPr>
            </w:pPr>
          </w:p>
        </w:tc>
        <w:tc>
          <w:tcPr>
            <w:tcW w:w="280" w:type="dxa"/>
            <w:vAlign w:val="bottom"/>
            <w:gridSpan w:val="3"/>
          </w:tcPr>
          <w:p>
            <w:pPr>
              <w:jc w:val="right"/>
              <w:ind w:right="34"/>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11,194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9"/>
          </w:tcPr>
          <w:p>
            <w:pPr>
              <w:ind w:left="500"/>
              <w:spacing w:after="0"/>
              <w:rPr>
                <w:sz w:val="20"/>
                <w:szCs w:val="20"/>
                <w:color w:val="auto"/>
              </w:rPr>
            </w:pPr>
            <w:r>
              <w:rPr>
                <w:rFonts w:ascii="Arial" w:cs="Arial" w:eastAsia="Arial" w:hAnsi="Arial"/>
                <w:sz w:val="18"/>
                <w:szCs w:val="18"/>
                <w:color w:val="auto"/>
                <w:w w:val="99"/>
              </w:rPr>
              <w:t>At June 30, 2012, the held-to-maturity securities were scheduled to mature as follows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8"/>
                <w:szCs w:val="18"/>
                <w:b w:val="1"/>
                <w:bCs w:val="1"/>
                <w:color w:val="auto"/>
              </w:rPr>
              <w:t>Within 1 Year</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7"/>
              </w:rPr>
              <w:t>1-3 Years</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10,154</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U.S. government notes —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9,147</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20" w:type="dxa"/>
            <w:vAlign w:val="bottom"/>
            <w:gridSpan w:val="2"/>
          </w:tcPr>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2011</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1,334,086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Acquisition of Fortigent (Note 3)</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28,067</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2012</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1,362,153</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8890</wp:posOffset>
            </wp:positionV>
            <wp:extent cx="857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jc w:val="right"/>
        <w:ind w:left="5620" w:right="5600" w:hanging="5612"/>
        <w:spacing w:after="0" w:line="514"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is a provisional amount and is subject to change (see Note 3). 14</w:t>
      </w:r>
    </w:p>
    <w:p>
      <w:pPr>
        <w:sectPr>
          <w:pgSz w:w="11900" w:h="16838" w:orient="portrait"/>
          <w:cols w:equalWidth="0" w:num="1">
            <w:col w:w="11420"/>
          </w:cols>
          <w:pgMar w:left="240" w:top="4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June 30, 2012 and December 31, 2011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June 30, 2012:</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305,085</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(69,970)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160,946</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16,260</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9.8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1,180</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701,390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483,471</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523,290</w:t>
            </w:r>
          </w:p>
        </w:tc>
      </w:tr>
      <w:tr>
        <w:trPr>
          <w:trHeight w:val="278"/>
        </w:trPr>
        <w:tc>
          <w:tcPr>
            <w:tcW w:w="5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At December 31, 2011:</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(132,503)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317,661</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167,206</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12,984</w:t>
            </w:r>
          </w:p>
        </w:tc>
      </w:tr>
      <w:tr>
        <w:trPr>
          <w:trHeight w:val="29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695,990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497,851</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537,670</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Total amortization expense of intangible assets was $10.0 million and $9.7 million for the three months ended June 30, 2012 and 2011, respectively, and $19.8 million and $19.2 million for the six months ended June 30, 2012 and 2011, respectively. Amortization expense for each of the fiscal years ended December 31, 2012 through 2016 and thereafter is estimated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19,762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39,006</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38,680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37,774</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37,619</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310,630</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483,471</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560" w:firstLine="405"/>
        <w:spacing w:after="0" w:line="250"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41.3% and</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39.7% for the three months ended June 30, 2012 and 2011, respectively, and 39.9% and 39.8% for the six months ended June 30, 2012 and 2011, respectively. Deferred income taxes reflect the net tax effects of temporary differences between the carrying amounts of assets and liabilities for financial reporting purposes and the amounts used for income tax purposes.</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1"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March 29, 2012, the Company entered into a Credit Agreement (the “Credit Agreement”)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subsidiary, LPL Holdings, Inc., the other Credit Parties signatory thereto, the Several Lenders signatory thereto, and Bank of America, N.A. as Administrative Agent, Collateral Agent, Letter of Credit Issuer, and Swingline Lender. The Credit Agreement refinanced and replaced the Company’s Third Amended and Restated Credit Agreement, dated as of May 24, 2010 (the "Original Credit Agreement").</w:t>
      </w:r>
    </w:p>
    <w:p>
      <w:pPr>
        <w:spacing w:after="0" w:line="19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Pursuant to the Credit Agreement, the Company established a Term Loan A of $735.0 million maturing on March 29, 2017 (the "Term Loan A"), a Term Loan B of $615.0 million maturing on March 29, 2019 (the "Term Loan B") and a revolving credit facility with borrowing capacity of $250.0 million maturing on March 29, 2017 (the "Revolving Credit Facility"). In connection with the Credit Agreement, the Company incurred $23.7 million in costs that are capitalized as debt issuance costs in the unaudited condensed consolidated statements of financial condition.</w:t>
      </w:r>
    </w:p>
    <w:p>
      <w:pPr>
        <w:spacing w:after="0" w:line="206"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The Revolving Credit Facility was undrawn at closing. The Revolving Credit Facility is currently being used to support the issuance of $31.3 million of irrevocable letters of credit for the construction of the Company's future San Diego office building, the Company's subsidiary The Private Trust Company N.A. ("PTC") and other items.</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202" w:lineRule="exact"/>
        <w:rPr>
          <w:sz w:val="20"/>
          <w:szCs w:val="20"/>
          <w:color w:val="auto"/>
        </w:rPr>
      </w:pPr>
    </w:p>
    <w:p>
      <w:pPr>
        <w:jc w:val="both"/>
        <w:ind w:right="80" w:firstLine="486"/>
        <w:spacing w:after="0" w:line="250" w:lineRule="auto"/>
        <w:rPr>
          <w:sz w:val="20"/>
          <w:szCs w:val="20"/>
          <w:color w:val="auto"/>
        </w:rPr>
      </w:pPr>
      <w:r>
        <w:rPr>
          <w:rFonts w:ascii="Arial" w:cs="Arial" w:eastAsia="Arial" w:hAnsi="Arial"/>
          <w:sz w:val="18"/>
          <w:szCs w:val="18"/>
          <w:color w:val="auto"/>
        </w:rPr>
        <w:t>Borrowings under the Credit Agreement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1.00% and (d) solely in the case of Term Loan B, 2.00%. The Credit Agreement subjects the Company to certain financial and non-financial covenants. As of June 30, 2012, the Company was in compliance with such covenants. The Company may voluntarily repay outstanding loans under its Credit Agreement at any time without premium or penalty, other than customary breakage costs with respect to LIBOR loans and with the exception of certain repricing transactions in respect of the Term Loan B consummated before March 29, 2013, which will be subject to a premium of 1.0% of the principal amount of Term Loan B subject to such repricing transaction.</w:t>
      </w:r>
    </w:p>
    <w:p>
      <w:pPr>
        <w:spacing w:after="0" w:line="206"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The applicable margin for borrowings with respect to the (a) Term Loan A is currently 1.50% for base rate borrowings and 2.50% for LIBOR borrowings; and (b) Term Loan B is currently 2.00% for base rate borrowings and 3.00% for LIBOR borrowings. The LIBOR Rate with respect to the Term Loan B shall in no event be less than 1.00%. The applicable margin for borrowings under the Revolving Credit Facility is currently 1.50% for base rate borrowings and 2.50% for LIBOR borrowings with a commitment fee of 0.50%. Except for the letters of credit described above, there were no outstanding balances on the Revolving Credit Facility at June 30, 2012.</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On March 29, 2012, the Company used proceeds from borrowings under the Credit Agreement to repay all outstanding principal borrowings under the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 Prior to the repayment, the Original Credit Agreement consisted of three term loan tranches: a $ 302.5 million term loan facility with a maturity of June 18, 2013 (the "2013 Term Loans"), a $476.9 million term loan facility with a maturity of June 25, 2015 (the "2015 Term Loans") and a $553.2 million term loan facility with a maturity of June 28, 2017 (the "2017 Term Loans"). The Original Credit Agreement also subjected the Company to certain financial and non-financial covenants. As of June 30, 2012 and December 31, 2011, the Company was in compliance with all such covenants.</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Original Credit Agreement included a revolving credit facility of $163.5 million, which had a maturity date of June 28, 2013, with a commitment fee of 0.75%. Borrowings were priced at LIBOR + 3.50%. Such facility had no outstanding balance at December 31, 2011 and has been replaced by the Revolving Credit Facility.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applicable margin for borrowings under the Original Credit Agreement with respect to the (a) 2013 Term Loans was 0.75% for base rate borrowings and 1.75% for LIBOR borrowings, (b) 2015 Term Loans was 1.75% for base rate borrowings and 2.75% for LIBOR borrowings, and (c) 2017 Term Loans was 2.75% for base rate borrowings and 3.75% for LIBOR borrowings. The LIBOR Rate with respect to the 2015 Term Loans and the 2017 Term Loans had a floor of 1.50%.</w:t>
      </w:r>
    </w:p>
    <w:p>
      <w:pPr>
        <w:spacing w:after="0" w:line="18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$150.0 million limit and allows for both collateralized and uncollateralized borrowings. Certain lines were utilized in 2012 and 2011; however, there were no balances outstanding at June 30, 2012 or December 31, 2011.</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June 30, 2012</w:t>
            </w:r>
          </w:p>
        </w:tc>
        <w:tc>
          <w:tcPr>
            <w:tcW w:w="72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800" w:type="dxa"/>
            <w:vAlign w:val="bottom"/>
            <w:gridSpan w:val="3"/>
          </w:tcPr>
          <w:p>
            <w:pPr>
              <w:ind w:left="80"/>
              <w:spacing w:after="0"/>
              <w:rPr>
                <w:sz w:val="20"/>
                <w:szCs w:val="20"/>
                <w:color w:val="auto"/>
              </w:rPr>
            </w:pPr>
            <w:r>
              <w:rPr>
                <w:rFonts w:ascii="Arial" w:cs="Arial" w:eastAsia="Arial" w:hAnsi="Arial"/>
                <w:sz w:val="18"/>
                <w:szCs w:val="18"/>
                <w:b w:val="1"/>
                <w:bCs w:val="1"/>
                <w:color w:val="auto"/>
              </w:rPr>
              <w:t>Balance</w:t>
            </w: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Hedged with an interest rate swap(1)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620" w:type="dxa"/>
            <w:vAlign w:val="bottom"/>
          </w:tcPr>
          <w:p>
            <w:pPr>
              <w:ind w:left="360"/>
              <w:spacing w:after="0"/>
              <w:rPr>
                <w:sz w:val="20"/>
                <w:szCs w:val="20"/>
                <w:color w:val="auto"/>
              </w:rPr>
            </w:pPr>
            <w:r>
              <w:rPr>
                <w:rFonts w:ascii="Arial" w:cs="Arial" w:eastAsia="Arial" w:hAnsi="Arial"/>
                <w:sz w:val="18"/>
                <w:szCs w:val="18"/>
                <w:color w:val="auto"/>
              </w:rPr>
              <w:t>Unhedged:</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3620" w:type="dxa"/>
            <w:vAlign w:val="bottom"/>
          </w:tcPr>
          <w:p>
            <w:pPr>
              <w:ind w:left="540"/>
              <w:spacing w:after="0"/>
              <w:rPr>
                <w:sz w:val="20"/>
                <w:szCs w:val="20"/>
                <w:color w:val="auto"/>
              </w:rPr>
            </w:pPr>
            <w:r>
              <w:rPr>
                <w:rFonts w:ascii="Arial" w:cs="Arial" w:eastAsia="Arial" w:hAnsi="Arial"/>
                <w:sz w:val="18"/>
                <w:szCs w:val="18"/>
                <w:color w:val="auto"/>
              </w:rPr>
              <w:t>2015 Term Loans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476,935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2017 Term Loans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553,244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620" w:type="dxa"/>
            <w:vAlign w:val="bottom"/>
          </w:tcPr>
          <w:p>
            <w:pPr>
              <w:jc w:val="center"/>
              <w:ind w:right="830"/>
              <w:spacing w:after="0"/>
              <w:rPr>
                <w:sz w:val="20"/>
                <w:szCs w:val="20"/>
                <w:color w:val="auto"/>
              </w:rPr>
            </w:pPr>
            <w:r>
              <w:rPr>
                <w:rFonts w:ascii="Arial" w:cs="Arial" w:eastAsia="Arial" w:hAnsi="Arial"/>
                <w:sz w:val="18"/>
                <w:szCs w:val="18"/>
                <w:color w:val="auto"/>
                <w:w w:val="97"/>
              </w:rPr>
              <w:t>Term Loan 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725,813</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jc w:val="center"/>
              <w:ind w:right="830"/>
              <w:spacing w:after="0"/>
              <w:rPr>
                <w:sz w:val="20"/>
                <w:szCs w:val="20"/>
                <w:color w:val="auto"/>
              </w:rPr>
            </w:pPr>
            <w:r>
              <w:rPr>
                <w:rFonts w:ascii="Arial" w:cs="Arial" w:eastAsia="Arial" w:hAnsi="Arial"/>
                <w:sz w:val="18"/>
                <w:szCs w:val="18"/>
                <w:color w:val="auto"/>
                <w:w w:val="97"/>
              </w:rPr>
              <w:t>Term Loan B</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613,462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20" w:type="dxa"/>
            <w:vAlign w:val="bottom"/>
          </w:tcPr>
          <w:p>
            <w:pPr>
              <w:jc w:val="center"/>
              <w:ind w:right="850"/>
              <w:spacing w:after="0"/>
              <w:rPr>
                <w:sz w:val="20"/>
                <w:szCs w:val="20"/>
                <w:color w:val="auto"/>
              </w:rPr>
            </w:pPr>
            <w:r>
              <w:rPr>
                <w:rFonts w:ascii="Arial" w:cs="Arial" w:eastAsia="Arial" w:hAnsi="Arial"/>
                <w:sz w:val="18"/>
                <w:szCs w:val="18"/>
                <w:color w:val="auto"/>
                <w:w w:val="99"/>
              </w:rPr>
              <w:t>Total borrowings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1,339,275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1,332,668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borrowings (maturities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within 12 months)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1,296,375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1,318,697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-130175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-130175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had an interest rate swap with a notional balance of $65.0 million, that matured on June 30, 2012.</w:t>
      </w:r>
    </w:p>
    <w:p>
      <w:pPr>
        <w:spacing w:after="0" w:line="117" w:lineRule="exact"/>
        <w:rPr>
          <w:rFonts w:ascii="Arial" w:cs="Arial" w:eastAsia="Arial" w:hAnsi="Arial"/>
          <w:sz w:val="18"/>
          <w:szCs w:val="18"/>
          <w:color w:val="auto"/>
        </w:rPr>
      </w:pPr>
    </w:p>
    <w:p>
      <w:pPr>
        <w:ind w:left="660" w:right="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2012, the variable interest rate for Term Loan A is based on the one-month LIBOR of 0.25%, plus the applicable interest rate margin of 2.50%.</w:t>
      </w:r>
    </w:p>
    <w:p>
      <w:pPr>
        <w:spacing w:after="0" w:line="88" w:lineRule="exact"/>
        <w:rPr>
          <w:rFonts w:ascii="Arial" w:cs="Arial" w:eastAsia="Arial" w:hAnsi="Arial"/>
          <w:sz w:val="18"/>
          <w:szCs w:val="18"/>
          <w:color w:val="auto"/>
        </w:rPr>
      </w:pPr>
    </w:p>
    <w:p>
      <w:pPr>
        <w:ind w:left="660" w:right="32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2012, the variable interest rate for Term Loan B is based on the greater of the one-month LIBOR of 0.25% or 1.00%, plus the applicable interest rate margin of 3.00%.</w:t>
      </w:r>
    </w:p>
    <w:p>
      <w:pPr>
        <w:spacing w:after="0" w:line="88"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hedged portion of the 2013 Term Loans is based on the three-month LIBOR of 0.58%, plus the applicable interest rate margin of 1.75%.</w:t>
      </w:r>
    </w:p>
    <w:p>
      <w:pPr>
        <w:spacing w:after="0" w:line="88"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2013 Term Loans is based on the one-month LIBOR of 0.30%, plus the applicable interest rate margin of 1.75%.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2015 Term Loans is based on the greater of the one-month LIBOR of 0.30% or 1.50%, plus the applicable interest rate margin of 2.75%.</w:t>
      </w:r>
    </w:p>
    <w:p>
      <w:pPr>
        <w:spacing w:after="0" w:line="88"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2011, the variable interest rate for the unhedged portion of the 2017 Term Loans is based on the greater of the one-month LIBOR of 0.30% or 1.50%, plus the applicable interest rate margin of 3.75%.</w:t>
      </w:r>
    </w:p>
    <w:p>
      <w:pPr>
        <w:spacing w:after="0" w:line="196"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combined average balance outstanding in the revolving and uncommitted line of credit facilities was approximately $0.3 million and six thousand dollars for the three months ended June 30, 2012 and 2011, respectively, and $0.2 million and six thousand dollars for the six months ended June 30, 2012 and 2011,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respectively. The weighted-average interest rate was 1.70% and 0.82% for the three months ended June 30, 2012 and 2011, respectively, and 1.56% and 1.16% for the six months ended June 30, 2012, and 2011, respectively.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minimum calendar year payments and maturities of the senior secured borrowings as of June 30, 2012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21,450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42,900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70,463</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79,650</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79,650</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1,045,162</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1,339,275</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right="100" w:firstLine="486"/>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w:t>
      </w:r>
    </w:p>
    <w:p>
      <w:pPr>
        <w:spacing w:after="0" w:line="153"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175"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June 30, 2012,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2012 -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27,984</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27,355</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264,729</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388,504</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$5.4 million due in the future under noncancellable subleases.</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Included in the schedule of future minimum payments above is a fifteen-year lease commitment that was executed in December 2011 for the Company's future San Diego office building with a lease commencement date of May 1, 2014. Future minimum payments for this lease commitment are $9.6 million, $14.8 million, $15.4 million and $236.8 million for the years 2014, 2015, 2016 and thereafter, respectively.</w:t>
      </w:r>
    </w:p>
    <w:p>
      <w:pPr>
        <w:spacing w:after="0" w:line="202" w:lineRule="exact"/>
        <w:rPr>
          <w:sz w:val="20"/>
          <w:szCs w:val="20"/>
          <w:color w:val="auto"/>
        </w:rPr>
      </w:pPr>
    </w:p>
    <w:p>
      <w:pPr>
        <w:jc w:val="both"/>
        <w:ind w:right="240" w:firstLine="486"/>
        <w:spacing w:after="0" w:line="262" w:lineRule="auto"/>
        <w:rPr>
          <w:sz w:val="20"/>
          <w:szCs w:val="20"/>
          <w:color w:val="auto"/>
        </w:rPr>
      </w:pPr>
      <w:r>
        <w:rPr>
          <w:rFonts w:ascii="Arial" w:cs="Arial" w:eastAsia="Arial" w:hAnsi="Arial"/>
          <w:sz w:val="18"/>
          <w:szCs w:val="18"/>
          <w:color w:val="auto"/>
        </w:rPr>
        <w:t>Total rental expense for all operating leases was approximately $4.8 million and $ 4.5 million for the three months ended June 30, 2012 and 2011, respectively, and $9.1 million and $8.6 million for the six months ended June 30, 2012, and 2011, respectively.</w:t>
      </w:r>
    </w:p>
    <w:p>
      <w:pPr>
        <w:spacing w:after="0" w:line="174"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9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7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 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to assist in the transition process.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June 30, 2012.</w:t>
      </w:r>
    </w:p>
    <w:p>
      <w:pPr>
        <w:spacing w:after="0" w:line="17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in various legal actions, substantially all of which are arbitrations. In view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legal liability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records legal reserves and related insurance recoveries for significant or unusual cases on a gross basis.</w:t>
      </w:r>
    </w:p>
    <w:p>
      <w:pPr>
        <w:spacing w:after="0" w:line="225"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The Company is subject to and maintains insurance coverage for claims and lawsuits in the ordinary course of business, such as customer complaints or disclosures about risks with securities purchased, as well as various arbitrations and other litigation matters. With respect to these matters, the estimated losses on the majority of pending matters are less than the applicable deductibles of the insurance policies, and matters with estimated losses in excess of the applicable deductibles are not, in the aggregate, material.</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Defense costs are expensed as incurred and classified as professional services within the unaudited condensed consolidated statements of income. When there is indemnification or insurance, the Company may engage in defense of settlement and subsequently seek reimbursement for such matters. In connection with various acquisitions, and pursuant to the purchase and sale agreements, the Company has received third-party indemnification for certain legal proceedings and claims. Some of these matters have been defended and paid directly by the indemnifying party.</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that the outcomes of any legal proceedings will not have a material adverse impact on the unaudited condensed consolidated statements of financial condition, income, comprehensive income or cash flows.</w:t>
      </w:r>
    </w:p>
    <w:p>
      <w:pPr>
        <w:spacing w:after="0" w:line="18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Regulatory </w:t>
      </w:r>
      <w:r>
        <w:rPr>
          <w:rFonts w:ascii="Arial" w:cs="Arial" w:eastAsia="Arial" w:hAnsi="Arial"/>
          <w:sz w:val="18"/>
          <w:szCs w:val="18"/>
          <w:color w:val="auto"/>
        </w:rPr>
        <w:t>— On July 20, 2012, the Internal Revenue Service (the “IRS”) issued a Notice of Proposed Adjustment (the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asserting that the Company is subject to a penalty with respect to an alleged untimely deposit of withholding taxes related to wages paid upon exercise of certain non-qualified stock options in connection with the Company's initial public offering in 2010. At this time, the Company is unable to provide a reasonable estimate of the potential range of ultimate liability because: (i) this matter is still in the early stages of discussion, (ii) the Company may dispute one or more legal positions asserted by the IRS and (iii) the defenses available to the Company will be dependent on the facts and circumstances of the transactions at issue. The Company plans to defend its position through applicable IRS and judicial procedures, as appropriate. Although the final resolution of the proposed adjustment is uncertain, the Company believes that the outcome will not be material to its financial position, but any penalty paid in connection with the Notice could have a material effect on the results of operations for the particular period.</w:t>
      </w:r>
    </w:p>
    <w:p>
      <w:pPr>
        <w:spacing w:after="0" w:line="18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June 30, 2012, LPL Financial had received collateral primarily in connection with client margin loans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 value of approximately $343.5 million, which it can sell or re-pledge. Of this amount, approximately $44.4 million has been pledged or sold as of June 30, 2012; $21.2 million was pledged with client-owned securities to the Options Clearing Corporation ("OCC") as collateral to secure client obligations related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41"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options positions, and $23.2 million was loaned to the National Securities Clearing Corporation ("NSCC") through participation in its Stock Borrow Program. Additionally, approximately $144.3 million are held at banks in connection with unutilized secured margin lines of credit; these securities may be used as collateral for loans from these banks. The remainder of $154.8 million has not been re-pledged or sold, and as of June 30, 2012 there are no restrictions that materially limit the Company's ability to re-pledge or sell the remaining $299.1 million of client collateral.</w:t>
      </w:r>
    </w:p>
    <w:p>
      <w:pPr>
        <w:spacing w:after="0" w:line="206"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As of December 31, 2011, LPL Financial had received collateral primarily in connection with client margin loans with a market value of approximately $350.2 million, which it can sell or repledge. Of this amount, approximately $32.7 million has been pledged or sold as of December 31, 2011; $ 18.4 million was pledged with client-owned securities to the OCC as collateral to secure client obligations related to options positions, and $14.3 million was loaned to the NSCC through participation in its Stock Borrow Program. Additionally, approximately $145.0 million are held at banks in connection with unutilized secured margin lines of credit; these securities may be used as collateral for loans from these banks. The remainder of $172.5 million had not been re-pledged or sold, and as of December 31, 2011 there are no restrictions that materially limited the Company's ability to re-pledge or sell the remaining $317.5 million of client collateral.</w:t>
      </w:r>
    </w:p>
    <w:p>
      <w:pPr>
        <w:spacing w:after="0" w:line="20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and $0.9 million pledged to clearing organizations at June 30, 2012 and December 31, 2011, respectively.</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8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Certain employees, advisors, officers and directors participate in various stock option plans. In addition, certain financial institutions participate in a warrant plan. Stock options and warrants generally vest in equal increments over a three- to five-year period and expire on the tenth anniversary following the date of grant.</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 -based compensation expense related to employee stock option awards based on the grant date fair value over the requisite service period of the award, which generally equals the vesting period. The Company recognized share-based compensation related to the vesting of employee stock option awards of $4.3 million and $3.3 million during the three months ended June 30, 2012 and 2011, respectively, and $8.5 million and $7.1 million during the six months ended June 30, 2012 and 2011, respectively, which is included in compensation and benefits on the unaudited condensed consolidated statements of income. As of June 30, 2012, total unrecognized compensation cost related to non-vested share-based compensation arrangements granted was $45.6 million, which is expected to be recognized over a weighted-average period of 3.60 years.</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the awards at each interim reporting period. The Company recognized share-based compensation of $0.4 million and $0.9 million during the three months ended June 30, 2012 and 2011, respectively, and $2.8 million and $1.9 million during the six months ended June 30, 2012 and 2011, respectively, related to the vesting of stock options and warrants awarded to its advisors and financial institutions, which is classified within commissions and advisory fee expense on the unaudited condensed consolidated statements of income. As of June 30, 2012, total unrecognized compensation cost related to non-vested share-based compensation arrangements granted was $14.6 million for advisors and financial institutions, which is expected to be recognized over a weighted-average period of 3.38 years.</w:t>
      </w:r>
    </w:p>
    <w:p>
      <w:pPr>
        <w:spacing w:after="0" w:line="207"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On May 8, 2012, the Company awarded 22,092 shares of common stock in conjunction with the acquisition of Fortigent, at a price of $33.95 per share, which resulted in share-based compensation expense of $0.8 million during the second quarter of 2012.</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4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2008 Nonqualified Deferred Compensation Plan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w:t>
      </w:r>
    </w:p>
    <w:p>
      <w:pPr>
        <w:spacing w:after="0" w:line="24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On August 16, 2011, the Board of Directors approved a share repurchase program pursuant to which the Company may repurchase up to $70.0 million of its outstanding shares of common stock through August 31, 2012. The purchases are effected in open market transactions with the timing of purchases and the amount of stock purchased determined at the discretion of the Company's management. During the six months ended June 30, 2012, the Company repurchased 1.7 million shares of common stock at a weighted-average price of $32.78 per share for an aggregate purchase price of $55.9 million. As of June 30, 2012, the Company had repurchased 2.0 million shares of common stock at a weighted-average price of $32.05 per share for an aggregate purchase price of $64.9 million under this share repurchase program.</w:t>
      </w:r>
    </w:p>
    <w:p>
      <w:pPr>
        <w:spacing w:after="0" w:line="209" w:lineRule="exact"/>
        <w:rPr>
          <w:sz w:val="20"/>
          <w:szCs w:val="20"/>
          <w:color w:val="auto"/>
        </w:rPr>
      </w:pPr>
    </w:p>
    <w:p>
      <w:pPr>
        <w:ind w:right="380" w:firstLine="486"/>
        <w:spacing w:after="0" w:line="253" w:lineRule="auto"/>
        <w:rPr>
          <w:sz w:val="20"/>
          <w:szCs w:val="20"/>
          <w:color w:val="auto"/>
        </w:rPr>
      </w:pPr>
      <w:r>
        <w:rPr>
          <w:rFonts w:ascii="Arial" w:cs="Arial" w:eastAsia="Arial" w:hAnsi="Arial"/>
          <w:sz w:val="18"/>
          <w:szCs w:val="18"/>
          <w:color w:val="auto"/>
        </w:rPr>
        <w:t>On May 25, 2012, the Board of Directors approved a share repurchase program pursuant to which the Company may repurchase an additional $75.0 million of its outstanding shares of common stock. There is no expiration date for this share repurchase program. The purchases may be effected in open market or privately negotiated transactions with the timing of purchases and the amount of stock purchased, generally determined at the discretion of the Company's management. As of June 30, 2012, the Company had made no repurchases of shares of common stock under this share repurchase program.</w:t>
      </w:r>
    </w:p>
    <w:p>
      <w:pPr>
        <w:spacing w:after="0" w:line="1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Prior to February 22, 2012, the Company was required to calculate earnings per share using the two-class method by allocating a portion of its earnings to employees who held stock units containing non -forfeitable rights to dividends or dividend equivalents under its Deferred Compensation Plan. Basic earnings per share was computed by dividing income less earnings attributable to employees that held stock units under the Deferred Compensation Plan by the basic weighted average number of shares outstanding. Diluted earnings per share was computed in a manner similar to basic earnings per share, except the weighted average number of shares outstanding is increased to include the dilutive effect of outstanding stock options, warrants and other stock-based awards. After the distribution of shares on February 22, 2012 pursuant to the Deferred Compensation Plan, the two-class method was no longer applicable.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1"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A reconciliation of the income used to compute basic and diluted earnings per share for the three and six months ended June 30, 2012 and 2011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For the Three</w:t>
            </w:r>
          </w:p>
        </w:tc>
        <w:tc>
          <w:tcPr>
            <w:tcW w:w="280" w:type="dxa"/>
            <w:vAlign w:val="bottom"/>
          </w:tcPr>
          <w:p>
            <w:pPr>
              <w:spacing w:after="0"/>
              <w:rPr>
                <w:sz w:val="17"/>
                <w:szCs w:val="17"/>
                <w:color w:val="auto"/>
              </w:rPr>
            </w:pPr>
          </w:p>
        </w:tc>
        <w:tc>
          <w:tcPr>
            <w:tcW w:w="23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rPr>
              <w:t>For the Six</w:t>
            </w:r>
          </w:p>
        </w:tc>
      </w:tr>
      <w:tr>
        <w:trPr>
          <w:trHeight w:val="203"/>
        </w:trPr>
        <w:tc>
          <w:tcPr>
            <w:tcW w:w="5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5"/>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80" w:type="dxa"/>
            <w:vAlign w:val="bottom"/>
          </w:tcPr>
          <w:p>
            <w:pPr>
              <w:spacing w:after="0"/>
              <w:rPr>
                <w:sz w:val="17"/>
                <w:szCs w:val="17"/>
                <w:color w:val="auto"/>
              </w:rPr>
            </w:pPr>
          </w:p>
        </w:tc>
        <w:tc>
          <w:tcPr>
            <w:tcW w:w="2320" w:type="dxa"/>
            <w:vAlign w:val="bottom"/>
            <w:gridSpan w:val="4"/>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Months Ended</w:t>
            </w:r>
          </w:p>
        </w:tc>
      </w:tr>
      <w:tr>
        <w:trPr>
          <w:trHeight w:val="246"/>
        </w:trPr>
        <w:tc>
          <w:tcPr>
            <w:tcW w:w="58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582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45,507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80,681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94,506</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3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97"/>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for computing basic earnings per share</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44,925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80,681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93,294</w:t>
            </w:r>
          </w:p>
        </w:tc>
      </w:tr>
      <w:tr>
        <w:trPr>
          <w:trHeight w:val="251"/>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3"/>
        </w:trPr>
        <w:tc>
          <w:tcPr>
            <w:tcW w:w="582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45,507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80,681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94,506</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undistributed earnings to stock units</w:t>
            </w:r>
          </w:p>
        </w:tc>
        <w:tc>
          <w:tcPr>
            <w:tcW w:w="3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Net income, for computing diluted earnings per share</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80,681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93,339</w:t>
            </w:r>
          </w:p>
        </w:tc>
      </w:tr>
      <w:tr>
        <w:trPr>
          <w:trHeight w:val="20"/>
        </w:trPr>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three and six months ended June 30, 2012 and 2011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7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For the Three</w:t>
            </w: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For the Six</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740" w:type="dxa"/>
            <w:vAlign w:val="bottom"/>
            <w:gridSpan w:val="5"/>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56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110,820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109,055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108,932</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outstanding(1)</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113,150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113,155</w:t>
            </w:r>
          </w:p>
        </w:tc>
        <w:tc>
          <w:tcPr>
            <w:tcW w:w="0" w:type="dxa"/>
            <w:vAlign w:val="bottom"/>
          </w:tcPr>
          <w:p>
            <w:pPr>
              <w:spacing w:after="0"/>
              <w:rPr>
                <w:sz w:val="1"/>
                <w:szCs w:val="1"/>
                <w:color w:val="auto"/>
              </w:rPr>
            </w:pPr>
          </w:p>
        </w:tc>
      </w:tr>
      <w:tr>
        <w:trPr>
          <w:trHeight w:val="20"/>
        </w:trPr>
        <w:tc>
          <w:tcPr>
            <w:tcW w:w="6020" w:type="dxa"/>
            <w:vAlign w:val="bottom"/>
            <w:vMerge w:val="restart"/>
          </w:tcPr>
          <w:p>
            <w:pPr>
              <w:jc w:val="right"/>
              <w:ind w:right="3999"/>
              <w:spacing w:after="0"/>
              <w:rPr>
                <w:sz w:val="20"/>
                <w:szCs w:val="20"/>
                <w:color w:val="auto"/>
              </w:rPr>
            </w:pPr>
            <w:r>
              <w:rPr>
                <w:rFonts w:ascii="Arial" w:cs="Arial" w:eastAsia="Arial" w:hAnsi="Arial"/>
                <w:sz w:val="11"/>
                <w:szCs w:val="11"/>
                <w:color w:val="auto"/>
                <w:w w:val="98"/>
              </w:rPr>
              <w:t>________________________________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0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340" w:right="2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and six months ended June 30, 2012, are approximately 850,000 shares resulting from the distribution pursuant to the Deferred Compensation Plan (see Note 11) that were not included in the weighted average share count for the three and six months ended June 30, 2011.</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for the three and six months ended June 30, 2012 and 2011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rPr>
              <w:t>For the Three</w:t>
            </w:r>
          </w:p>
        </w:tc>
        <w:tc>
          <w:tcPr>
            <w:tcW w:w="380" w:type="dxa"/>
            <w:vAlign w:val="bottom"/>
          </w:tcPr>
          <w:p>
            <w:pPr>
              <w:spacing w:after="0"/>
              <w:rPr>
                <w:sz w:val="18"/>
                <w:szCs w:val="18"/>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rPr>
              <w:t>For the Six</w:t>
            </w:r>
          </w:p>
        </w:tc>
        <w:tc>
          <w:tcPr>
            <w:tcW w:w="840" w:type="dxa"/>
            <w:vAlign w:val="bottom"/>
          </w:tcPr>
          <w:p>
            <w:pPr>
              <w:spacing w:after="0"/>
              <w:rPr>
                <w:sz w:val="18"/>
                <w:szCs w:val="18"/>
                <w:color w:val="auto"/>
              </w:rPr>
            </w:pPr>
          </w:p>
        </w:tc>
      </w:tr>
      <w:tr>
        <w:trPr>
          <w:trHeight w:val="203"/>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4"/>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380" w:type="dxa"/>
            <w:vAlign w:val="bottom"/>
          </w:tcPr>
          <w:p>
            <w:pPr>
              <w:spacing w:after="0"/>
              <w:rPr>
                <w:sz w:val="17"/>
                <w:szCs w:val="17"/>
                <w:color w:val="auto"/>
              </w:rPr>
            </w:pPr>
          </w:p>
        </w:tc>
        <w:tc>
          <w:tcPr>
            <w:tcW w:w="2360" w:type="dxa"/>
            <w:vAlign w:val="bottom"/>
            <w:gridSpan w:val="4"/>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Months Ended</w:t>
            </w:r>
          </w:p>
        </w:tc>
      </w:tr>
      <w:tr>
        <w:trPr>
          <w:trHeight w:val="246"/>
        </w:trPr>
        <w:tc>
          <w:tcPr>
            <w:tcW w:w="6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2011</w:t>
            </w:r>
          </w:p>
        </w:tc>
      </w:tr>
      <w:tr>
        <w:trPr>
          <w:trHeight w:val="270"/>
        </w:trPr>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r>
      <w:tr>
        <w:trPr>
          <w:trHeight w:val="257"/>
        </w:trPr>
        <w:tc>
          <w:tcPr>
            <w:tcW w:w="6020" w:type="dxa"/>
            <w:vAlign w:val="bottom"/>
          </w:tcPr>
          <w:p>
            <w:pPr>
              <w:ind w:left="8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0.82</w:t>
            </w:r>
          </w:p>
        </w:tc>
      </w:tr>
    </w:tbl>
    <w:p>
      <w:pPr>
        <w:spacing w:after="0" w:line="22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computation of diluted earnings per share excluded stock options and warrants to purchase 3,796,356 shares and 2,975,485 shares for the three months ended June 30, 2012 and 2011, respectively, and 3,558,814 shares and 3,181,435 shares for the six months ended June 30, 2012 and 2011, respectively, because the effect would have been anti-dilutive.</w:t>
      </w:r>
    </w:p>
    <w:p>
      <w:pPr>
        <w:spacing w:after="0" w:line="18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color w:val="auto"/>
        </w:rPr>
        <w:t>One of the Company’s majority stockholders owns a minority interest in Artisan Partners Limited Partnership (“Artisan”), which pays fees in exchange for product distribution and record-keeping services. During the six months ended June 30, 2012 and 2011, the Company earned $1.7 million and $1.5 million, respectively, in fees from Artisan. Additionally, as of June 30, 2012 and December 31, 2011, Artisan owed the Company $0.9 million and $0.7 million, respectively, which is included in receivables from product sponsors, broker-dealers and clearing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organizations on the unaudited condensed consolidated statements of financial condition.</w:t>
      </w:r>
    </w:p>
    <w:p>
      <w:pPr>
        <w:spacing w:after="0" w:line="225"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American Beacon Advisor, Inc. (“American Beacon”), a company majority-owned by one of the Company’s majority stockholders, pays fees in exchange for product distribution and record-keeping services. During the six months ended June 30, 2012, the Company earned $0.2 million in fees from American Beacon. At June 30, 2012, American Beacon owed the Company $0.2 million, which is included in receivables from product sponsors, broker-dealers and clearing organizations on the unaudited condensed consolidated statements of financial condition</w:t>
      </w:r>
    </w:p>
    <w:p>
      <w:pPr>
        <w:spacing w:after="0" w:line="204" w:lineRule="exact"/>
        <w:rPr>
          <w:sz w:val="20"/>
          <w:szCs w:val="20"/>
          <w:color w:val="auto"/>
        </w:rPr>
      </w:pPr>
    </w:p>
    <w:p>
      <w:pPr>
        <w:jc w:val="both"/>
        <w:ind w:right="640" w:firstLine="486"/>
        <w:spacing w:after="0" w:line="291" w:lineRule="auto"/>
        <w:rPr>
          <w:sz w:val="20"/>
          <w:szCs w:val="20"/>
          <w:color w:val="auto"/>
        </w:rPr>
      </w:pPr>
      <w:r>
        <w:rPr>
          <w:rFonts w:ascii="Arial" w:cs="Arial" w:eastAsia="Arial" w:hAnsi="Arial"/>
          <w:sz w:val="17"/>
          <w:szCs w:val="17"/>
          <w:color w:val="auto"/>
        </w:rPr>
        <w:t>One of the Company’s majority stockholders owns a minority interest in XOJET, Inc. (“XOJET”), which provides chartered aircraft services. The Company paid $0.5 million and $1.0 million to XOJET during the six months ended June 30, 2012 and 2011, respectively.</w:t>
      </w:r>
    </w:p>
    <w:p>
      <w:pPr>
        <w:spacing w:after="0" w:line="17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$0.5 million and $1.0 million to Aplifi for such services during the six months ended June 30, 2012 and 2011, respectively.</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$0.1 million and $0.3 million to CresaPartners during the six months ended June 30, 2012 and 2011, respectively.</w:t>
      </w:r>
    </w:p>
    <w:p>
      <w:pPr>
        <w:spacing w:after="0" w:line="20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One of the Company's stockholders, TPG Capital ("TPG") provided the Company with consulting services. During the six months ended June 30, 2012, the Company paid $0.2 million to TPG.</w:t>
      </w:r>
    </w:p>
    <w:p>
      <w:pPr>
        <w:spacing w:after="0" w:line="17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 subsidiary may not be used to offset a net capital deficiency of another broker-dealer subsidiary. Net capital and the related net capital requirement may fluctuate on a daily basis.</w:t>
      </w:r>
    </w:p>
    <w:p>
      <w:pPr>
        <w:spacing w:after="0" w:line="20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Net capital and net capital requirements for the Company’s broker-dealer subsidiaries as of June 30, 2012 are presented in the following table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Capital</w:t>
            </w:r>
          </w:p>
        </w:tc>
        <w:tc>
          <w:tcPr>
            <w:tcW w:w="22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rPr>
              <w:t>Excess Net</w:t>
            </w:r>
          </w:p>
        </w:tc>
      </w:tr>
      <w:tr>
        <w:trPr>
          <w:trHeight w:val="196"/>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Required</w:t>
            </w:r>
          </w:p>
        </w:tc>
        <w:tc>
          <w:tcPr>
            <w:tcW w:w="220" w:type="dxa"/>
            <w:vAlign w:val="bottom"/>
          </w:tcPr>
          <w:p>
            <w:pPr>
              <w:spacing w:after="0"/>
              <w:rPr>
                <w:sz w:val="17"/>
                <w:szCs w:val="17"/>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Capital</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LPL Financial LLC</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124,777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6,042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118,735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UVEST Financial Services Group,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20,661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20,380</w:t>
            </w:r>
          </w:p>
        </w:tc>
      </w:tr>
    </w:tbl>
    <w:p>
      <w:pPr>
        <w:spacing w:after="0" w:line="22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LPL Financial is a clearing broker-dealer and UVEST is an introducing broker-dealer. In connection with the Company's 2011 initiative to consolidate UVEST with LPL Financial, UVEST has withdrawn its registration with FINRA effective July 16, 2012, and is no longer subject to net capital filing requirements. 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w:t>
      </w:r>
    </w:p>
    <w:p>
      <w:pPr>
        <w:spacing w:after="0" w:line="16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June 30, 2012 and December 31, 2011, LPL Financial, UVEST and PTC have met all capital adequacy requirements to which they are subject.</w:t>
      </w:r>
    </w:p>
    <w:p>
      <w:pPr>
        <w:spacing w:after="0" w:line="15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1"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where the agencies determine that such operations are unsafe or unsound, fail to comply with applicable law, or are otherwise inconsistent with the laws and regulations or with the supervisory policies, greater restrictions may be imposed.</w:t>
      </w:r>
    </w:p>
    <w:p>
      <w:pPr>
        <w:spacing w:after="0" w:line="17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18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July 10, 2012, the Company acquired all of the outstanding common stock of Veritat Advisors, Inc. ("Veritat"). The Company paid $5.1 million at the closing of the transaction. The Company may be required to pay future consideration to the former Veritat shareholders that is contingent upon the achievement of certain assets under management milestones and employee retention. The maximum amount of contingent payments is $14.9 million over the next five years. Veritat is a registered investment advisory firm that developed and utilizes a proprietary online financial planning platform designed to support advisors who serve the mass market. This strategic acquisition will enhance the technological capabilities of the Company's recent initiative intended to serve the mass market by increasing the flexibility of its service offering.</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July 30, 2012, the Board of Directors declared a cash dividend of $0.12 per share on the Company's outstanding common stock to be paid on August 30, 2012 to all stockholders of record on August 15, 2012.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provide an integrated platform of brokerage and investment advisory services to over 13,100 independent financial advisors and financial advisors at financial institutions (our "advisors") across the country, enabling them to successfully service their retail investors (their "clients") with objective, conflict-free financial advice. In addition, we support approximately 4,500 financial advisors who are affiliated and licensed with insurance companies with customized clearing, advisory platforms and technology solutions. Our singular focus is to provide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open-architecture access to leading financial products, all delivered in an environment unencumbered by conflicts from product manufacturing, underwriting or market making.</w:t>
      </w:r>
    </w:p>
    <w:p>
      <w:pPr>
        <w:spacing w:after="0" w:line="166"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has been issued.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currently have approximately 2,900 employees with headquarters in Boston, Charlotte and San Diego.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76" w:right="279" w:bottom="1440" w:gutter="0" w:footer="0" w:header="0"/>
        </w:sectPr>
      </w:pPr>
    </w:p>
    <w:bookmarkStart w:id="28" w:name="page29"/>
    <w:bookmarkEnd w:id="28"/>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294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For the Six Months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1000" w:type="dxa"/>
            <w:vAlign w:val="bottom"/>
            <w:tcBorders>
              <w:right w:val="single" w:sz="8" w:color="auto"/>
            </w:tcBorders>
            <w:shd w:val="clear" w:color="auto" w:fill="000000"/>
          </w:tcPr>
          <w:p>
            <w:pPr>
              <w:spacing w:after="0"/>
              <w:rPr>
                <w:sz w:val="16"/>
                <w:szCs w:val="16"/>
                <w:color w:val="auto"/>
              </w:rPr>
            </w:pP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June 30, 2012</w:t>
            </w:r>
          </w:p>
        </w:tc>
        <w:tc>
          <w:tcPr>
            <w:tcW w:w="1020" w:type="dxa"/>
            <w:vAlign w:val="bottom"/>
            <w:tcBorders>
              <w:right w:val="single" w:sz="8" w:color="A5A5A5"/>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100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6"/>
              </w:rPr>
              <w:t>Total</w:t>
            </w: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100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ind w:left="10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$911</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38%</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1000" w:type="dxa"/>
            <w:vAlign w:val="bottom"/>
            <w:tcBorders>
              <w:right w:val="single" w:sz="8" w:color="A5A5A5"/>
            </w:tcBorders>
            <w:vMerge w:val="continue"/>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100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100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$519</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98%</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1000" w:type="dxa"/>
            <w:vAlign w:val="bottom"/>
            <w:tcBorders>
              <w:bottom w:val="single" w:sz="8" w:color="A5A5A5"/>
              <w:right w:val="single" w:sz="8" w:color="A5A5A5"/>
            </w:tcBorders>
            <w:vMerge w:val="continue"/>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$200</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100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100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1F497D"/>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1F497D"/>
              </w:rPr>
              <w:t>- Number of clients</w:t>
            </w:r>
          </w:p>
        </w:tc>
        <w:tc>
          <w:tcPr>
            <w:tcW w:w="100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$154</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64%</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1000" w:type="dxa"/>
            <w:vAlign w:val="bottom"/>
            <w:tcBorders>
              <w:right w:val="single" w:sz="8" w:color="A5A5A5"/>
            </w:tcBorders>
            <w:vMerge w:val="continue"/>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100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100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100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$26</w:t>
            </w: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44%</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Marketing re-allowance fees</w:t>
            </w:r>
          </w:p>
        </w:tc>
        <w:tc>
          <w:tcPr>
            <w:tcW w:w="1000" w:type="dxa"/>
            <w:vAlign w:val="bottom"/>
            <w:tcBorders>
              <w:right w:val="single" w:sz="8" w:color="A5A5A5"/>
            </w:tcBorders>
            <w:vMerge w:val="continue"/>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100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$1,810</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64%</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100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$1,161</w:t>
            </w: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100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240" w:hanging="120"/>
        <w:spacing w:after="0" w:line="28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Commissions and advisory fees both represent advisor-generated revenue, generally 85-90%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paid to advisors.</w:t>
      </w:r>
    </w:p>
    <w:p>
      <w:pPr>
        <w:spacing w:after="0" w:line="153"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b w:val="1"/>
          <w:bCs w:val="1"/>
          <w:i w:val="1"/>
          <w:iCs w:val="1"/>
          <w:color w:val="auto"/>
        </w:rPr>
        <w:t xml:space="preserve">Commissions. </w:t>
      </w:r>
      <w:r>
        <w:rPr>
          <w:rFonts w:ascii="Arial" w:cs="Arial" w:eastAsia="Arial" w:hAnsi="Arial"/>
          <w:sz w:val="18"/>
          <w:szCs w:val="18"/>
          <w:color w:val="auto"/>
        </w:rPr>
        <w:t>Transaction-based commission revenues primarily represent gross commissions generated by our advisors,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from commissions earned on the sale of various financial products such as variable and fixed annuities, mutual funds, general securities, fixed income, alternative investments and insurance. The levels of transaction based commissions can vary from period to period based on the overall economic environment, number of trading days in the reporting period and investment activity of our advisors' clients. We also earn trailing commission revenues (a commission that is paid over time, such as 12(b)-1 fees) on mutual funds and variable annuities held by clients of our advisors. Trailing commissions are recurring in nature and are earned based on the current market value of investment holdings.</w:t>
      </w:r>
    </w:p>
    <w:p>
      <w:pPr>
        <w:spacing w:after="0" w:line="183"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on our corporate Registered Investment Advisor ("RIA")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the calendar quarter. In addition, we support independent Registered Investment Advisors ("Independent RIA") who conduct their advisory business through separate entities by establishing their own RIA pursuant to the Investment Advisers Act of 1940, rather than using our corporate registered RIA. The assets held under these investment advisory accounts custodied with LPL Financial LLC (“LPL Financial”) are included in our advisory and brokerage assets and advisory assets under management metrics. The fee-based production generated by the Independent RIA is earned by the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98" w:right="259" w:bottom="1440" w:gutter="0" w:footer="0" w:header="0"/>
        </w:sectPr>
      </w:pPr>
    </w:p>
    <w:bookmarkStart w:id="29" w:name="page30"/>
    <w:bookmarkEnd w:id="29"/>
    <w:p>
      <w:pPr>
        <w:ind w:left="1160" w:right="40"/>
        <w:spacing w:after="0" w:line="254" w:lineRule="auto"/>
        <w:rPr>
          <w:sz w:val="20"/>
          <w:szCs w:val="20"/>
          <w:color w:val="auto"/>
        </w:rPr>
      </w:pPr>
      <w:r>
        <w:rPr>
          <w:rFonts w:ascii="Arial" w:cs="Arial" w:eastAsia="Arial" w:hAnsi="Arial"/>
          <w:sz w:val="18"/>
          <w:szCs w:val="18"/>
          <w:color w:val="auto"/>
        </w:rPr>
        <w:t>advisor, and accordingly not included in our advisory fee revenue. However, there are administrative fees charged to Independent RIAs including custody and clearing and trading fees, based on the value of assets within these advisory accounts. Furthermore, we support certain financial advisors with customized clearing and advisory platforms and charge fees to these advisors based on the value of assets within these advisory accounts.</w:t>
      </w:r>
    </w:p>
    <w:p>
      <w:pPr>
        <w:spacing w:after="0" w:line="182" w:lineRule="exact"/>
        <w:rPr>
          <w:sz w:val="20"/>
          <w:szCs w:val="20"/>
          <w:color w:val="auto"/>
        </w:rPr>
      </w:pPr>
    </w:p>
    <w:p>
      <w:pPr>
        <w:ind w:left="520" w:right="8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sponsorship programs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and networking fees represent fees paid to us in exchange for administrative and record-keeping services that we provide to clients of our advisors. Omnibus fees, paid to us by mutual fund manufacturers, are correlated to assets serviced while networking fees, paid to us by mutual fund and annuity product manufacturers, are correlated to the number of positions we administer.</w:t>
      </w:r>
    </w:p>
    <w:p>
      <w:pPr>
        <w:spacing w:after="0" w:line="181" w:lineRule="exact"/>
        <w:rPr>
          <w:rFonts w:ascii="Arial" w:cs="Arial" w:eastAsia="Arial" w:hAnsi="Arial"/>
          <w:sz w:val="18"/>
          <w:szCs w:val="18"/>
          <w:color w:val="auto"/>
        </w:rPr>
      </w:pPr>
    </w:p>
    <w:p>
      <w:pPr>
        <w:ind w:left="520" w:right="40" w:hanging="120"/>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other client account fees. We charge fees to our advisors and their clients for executing transactions in brokerage and fee-based advisory accounts. We earn subscription fees for various services provided to our advisors and on IRA custodial services that we provide for their client accounts. We charge monthly administrative fees to our advisors. We charge fees to financial product manufacturers for participating in our training and marketing conferences. In addition, we host certain advisor conferences that serve as training, sales and marketing events. During the reporting periods that these conferences are held we anticipate higher transaction and other fees resulting from the collection of revenues from sponsors and advisors, in comparison to other periods.</w:t>
      </w:r>
    </w:p>
    <w:p>
      <w:pPr>
        <w:spacing w:after="0" w:line="185" w:lineRule="exact"/>
        <w:rPr>
          <w:rFonts w:ascii="Arial" w:cs="Arial" w:eastAsia="Arial" w:hAnsi="Arial"/>
          <w:sz w:val="18"/>
          <w:szCs w:val="18"/>
          <w:color w:val="auto"/>
        </w:rPr>
      </w:pPr>
    </w:p>
    <w:p>
      <w:pPr>
        <w:ind w:left="520" w:right="220" w:hanging="120"/>
        <w:spacing w:after="0" w:line="28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as well as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client margin accounts and cash equivalents, net of operating interest expense, and other items.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80" w:hanging="120"/>
        <w:spacing w:after="0" w:line="255"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commissions and advisory fees earned on each client's account (collectively, commissions and advisory fees earned are referred to as gross dealer concessions, or "GDC"); bonuses earned by advisors based on the levels of commissions and advisory fees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commissions and advisory revenues.</w:t>
      </w:r>
    </w:p>
    <w:p>
      <w:pPr>
        <w:spacing w:after="0" w:line="207" w:lineRule="exact"/>
        <w:rPr>
          <w:rFonts w:ascii="Arial" w:cs="Arial" w:eastAsia="Arial" w:hAnsi="Arial"/>
          <w:sz w:val="18"/>
          <w:szCs w:val="18"/>
          <w:color w:val="auto"/>
        </w:rPr>
      </w:pPr>
    </w:p>
    <w:p>
      <w:pPr>
        <w:ind w:left="520"/>
        <w:spacing w:after="0" w:line="252" w:lineRule="auto"/>
        <w:rPr>
          <w:rFonts w:ascii="Arial" w:cs="Arial" w:eastAsia="Arial" w:hAnsi="Arial"/>
          <w:sz w:val="18"/>
          <w:szCs w:val="18"/>
          <w:color w:val="auto"/>
        </w:rPr>
      </w:pPr>
      <w:r>
        <w:rPr>
          <w:rFonts w:ascii="Arial" w:cs="Arial" w:eastAsia="Arial" w:hAnsi="Arial"/>
          <w:sz w:val="18"/>
          <w:szCs w:val="18"/>
          <w:color w:val="auto"/>
        </w:rPr>
        <w:t>We characterize production payout, which includes all production expenses except brokerage, clearing and exchange fees, as either GDC sensitive or non-GDC sensitive. Base payout amounts and production bonuses earned by and paid to advisors are GDC sensitive because they are variable and highly correlated to the level of our commissions and advisory revenues in a particular reporting period. Non-GDC sensitive payout is correlated to market movement in addition to the value of our stock. Non-GDC sensitive payout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98" w:right="279" w:bottom="1440" w:gutter="0" w:footer="0" w:header="0"/>
        </w:sectPr>
      </w:pPr>
    </w:p>
    <w:bookmarkStart w:id="30" w:name="page31"/>
    <w:bookmarkEnd w:id="30"/>
    <w:p>
      <w:pPr>
        <w:ind w:left="500" w:right="440"/>
        <w:spacing w:after="0" w:line="262" w:lineRule="auto"/>
        <w:rPr>
          <w:sz w:val="20"/>
          <w:szCs w:val="20"/>
          <w:color w:val="auto"/>
        </w:rPr>
      </w:pPr>
      <w:r>
        <w:rPr>
          <w:rFonts w:ascii="Arial" w:cs="Arial" w:eastAsia="Arial" w:hAnsi="Arial"/>
          <w:sz w:val="18"/>
          <w:szCs w:val="18"/>
          <w:color w:val="auto"/>
        </w:rPr>
        <w:t>The following table is presented as an illustration of how the aforementioned production expenses impact our payout ratio for the six months ended June 30,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7"/>
        </w:trPr>
        <w:tc>
          <w:tcPr>
            <w:tcW w:w="9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64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right="260" w:hanging="323"/>
        <w:spacing w:after="0" w:line="262" w:lineRule="auto"/>
        <w:rPr>
          <w:sz w:val="20"/>
          <w:szCs w:val="20"/>
          <w:color w:val="auto"/>
        </w:rPr>
      </w:pPr>
      <w:r>
        <w:rPr>
          <w:rFonts w:ascii="Arial" w:cs="Arial" w:eastAsia="Arial" w:hAnsi="Arial"/>
          <w:sz w:val="18"/>
          <w:szCs w:val="18"/>
          <w:color w:val="auto"/>
        </w:rPr>
        <w:t>See Results of Operations for the three and six months ended June 30, 2012 and comparative 2011 periods' analyses of production payout ratio.</w:t>
      </w:r>
    </w:p>
    <w:p>
      <w:pPr>
        <w:spacing w:after="0" w:line="174" w:lineRule="exact"/>
        <w:rPr>
          <w:sz w:val="20"/>
          <w:szCs w:val="20"/>
          <w:color w:val="auto"/>
        </w:rPr>
      </w:pPr>
    </w:p>
    <w:p>
      <w:pPr>
        <w:ind w:left="520" w:right="400" w:hanging="120"/>
        <w:spacing w:after="0" w:line="269"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180" w:hanging="120"/>
        <w:spacing w:after="0" w:line="262"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 During the reporting periods that these conferences are held, we anticipate higher general and administrative expenses in comparison to other periods.</w:t>
      </w:r>
    </w:p>
    <w:p>
      <w:pPr>
        <w:spacing w:after="0" w:line="176" w:lineRule="exact"/>
        <w:rPr>
          <w:rFonts w:ascii="Arial" w:cs="Arial" w:eastAsia="Arial" w:hAnsi="Arial"/>
          <w:sz w:val="18"/>
          <w:szCs w:val="18"/>
          <w:color w:val="auto"/>
        </w:rPr>
      </w:pPr>
    </w:p>
    <w:p>
      <w:pPr>
        <w:ind w:left="520" w:right="60" w:hanging="120"/>
        <w:spacing w:after="0" w:line="269" w:lineRule="auto"/>
        <w:tabs>
          <w:tab w:leader="none" w:pos="52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represent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00" w:right="180" w:hanging="168"/>
        <w:spacing w:after="0" w:line="262"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Mutual Service Corporation (“MSC”), Associated Financial Group, Inc. (“AFG”), Associated Securities Corp. (“Associated”), Associated Planners Investment Advisory, Inc. (“APIA”) and Waterstone Financial Group, Inc. (“WFG”) (MSC, AFG, Associated, APIA and WFG, are collectively referred to herein as the “Affiliated Entities”).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and six months ended June 30, 2012 and 2011 are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9"/>
          </w:tcPr>
          <w:p>
            <w:pPr>
              <w:ind w:left="620"/>
              <w:spacing w:after="0"/>
              <w:rPr>
                <w:sz w:val="20"/>
                <w:szCs w:val="20"/>
                <w:color w:val="auto"/>
              </w:rPr>
            </w:pPr>
            <w:r>
              <w:rPr>
                <w:rFonts w:ascii="Arial" w:cs="Arial" w:eastAsia="Arial" w:hAnsi="Arial"/>
                <w:sz w:val="16"/>
                <w:szCs w:val="16"/>
                <w:b w:val="1"/>
                <w:bCs w:val="1"/>
                <w:color w:val="auto"/>
              </w:rPr>
              <w:t>As of June 30,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5320" w:type="dxa"/>
            <w:vAlign w:val="bottom"/>
          </w:tcPr>
          <w:p>
            <w:pPr>
              <w:ind w:left="80"/>
              <w:spacing w:after="0"/>
              <w:rPr>
                <w:sz w:val="20"/>
                <w:szCs w:val="20"/>
                <w:color w:val="auto"/>
              </w:rPr>
            </w:pPr>
            <w:r>
              <w:rPr>
                <w:rFonts w:ascii="Arial" w:cs="Arial" w:eastAsia="Arial" w:hAnsi="Arial"/>
                <w:sz w:val="18"/>
                <w:szCs w:val="18"/>
                <w:b w:val="1"/>
                <w:bCs w:val="1"/>
                <w:color w:val="auto"/>
              </w:rPr>
              <w:t xml:space="preserve">Business Metrics </w:t>
            </w:r>
            <w:r>
              <w:rPr>
                <w:rFonts w:ascii="Arial" w:cs="Arial" w:eastAsia="Arial" w:hAnsi="Arial"/>
                <w:sz w:val="16"/>
                <w:szCs w:val="16"/>
                <w:b w:val="1"/>
                <w:bCs w:val="1"/>
                <w:color w:val="auto"/>
              </w:rPr>
              <w:t>(unaudited)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Advisors(1)</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billions)(2)</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353.0</w:t>
            </w:r>
          </w:p>
        </w:tc>
        <w:tc>
          <w:tcPr>
            <w:tcW w:w="80" w:type="dxa"/>
            <w:vAlign w:val="bottom"/>
          </w:tcPr>
          <w:p>
            <w:pPr>
              <w:spacing w:after="0"/>
              <w:rPr>
                <w:sz w:val="22"/>
                <w:szCs w:val="22"/>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management (in billions)(3)</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7.9 %</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Net new advisory assets (in billions)(4)</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2"/>
                <w:szCs w:val="22"/>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ind w:left="48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10.6 %</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2"/>
                <w:szCs w:val="22"/>
                <w:color w:val="auto"/>
              </w:rPr>
            </w:pPr>
          </w:p>
        </w:tc>
        <w:tc>
          <w:tcPr>
            <w:tcW w:w="40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22"/>
                <w:szCs w:val="22"/>
                <w:color w:val="auto"/>
              </w:rPr>
            </w:pPr>
          </w:p>
        </w:tc>
      </w:tr>
      <w:tr>
        <w:trPr>
          <w:trHeight w:val="817"/>
        </w:trPr>
        <w:tc>
          <w:tcPr>
            <w:tcW w:w="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60" w:type="dxa"/>
            <w:vAlign w:val="bottom"/>
            <w:gridSpan w:val="7"/>
          </w:tcPr>
          <w:p>
            <w:pPr>
              <w:ind w:left="60"/>
              <w:spacing w:after="0"/>
              <w:rPr>
                <w:sz w:val="20"/>
                <w:szCs w:val="20"/>
                <w:color w:val="auto"/>
              </w:rPr>
            </w:pPr>
            <w:r>
              <w:rPr>
                <w:rFonts w:ascii="Arial" w:cs="Arial" w:eastAsia="Arial" w:hAnsi="Arial"/>
                <w:sz w:val="16"/>
                <w:szCs w:val="16"/>
                <w:b w:val="1"/>
                <w:bCs w:val="1"/>
                <w:color w:val="auto"/>
              </w:rPr>
              <w:t>For the Three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7"/>
          </w:tcPr>
          <w:p>
            <w:pPr>
              <w:ind w:left="80"/>
              <w:spacing w:after="0"/>
              <w:rPr>
                <w:sz w:val="20"/>
                <w:szCs w:val="20"/>
                <w:color w:val="auto"/>
              </w:rPr>
            </w:pPr>
            <w:r>
              <w:rPr>
                <w:rFonts w:ascii="Arial" w:cs="Arial" w:eastAsia="Arial" w:hAnsi="Arial"/>
                <w:sz w:val="16"/>
                <w:szCs w:val="16"/>
                <w:b w:val="1"/>
                <w:bCs w:val="1"/>
                <w:color w:val="auto"/>
              </w:rPr>
              <w:t>For the Six Months Ended June 30,</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top w:val="single" w:sz="8" w:color="auto"/>
              <w:bottom w:val="single" w:sz="8" w:color="auto"/>
            </w:tcBorders>
          </w:tcPr>
          <w:p>
            <w:pPr>
              <w:spacing w:after="0"/>
              <w:rPr>
                <w:sz w:val="22"/>
                <w:szCs w:val="22"/>
                <w:color w:val="auto"/>
              </w:rPr>
            </w:pPr>
          </w:p>
        </w:tc>
      </w:tr>
      <w:tr>
        <w:trPr>
          <w:trHeight w:val="385"/>
        </w:trPr>
        <w:tc>
          <w:tcPr>
            <w:tcW w:w="40" w:type="dxa"/>
            <w:vAlign w:val="bottom"/>
          </w:tcPr>
          <w:p>
            <w:pPr>
              <w:spacing w:after="0"/>
              <w:rPr>
                <w:sz w:val="24"/>
                <w:szCs w:val="24"/>
                <w:color w:val="auto"/>
              </w:rPr>
            </w:pPr>
          </w:p>
        </w:tc>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6"/>
                <w:szCs w:val="16"/>
                <w:b w:val="1"/>
                <w:bCs w:val="1"/>
                <w:color w:val="auto"/>
              </w:rPr>
              <w:t>(unaudited)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growth from prior period</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15.3%</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Recurring revenue as a % of net revenue(5)</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w w:val="97"/>
              </w:rPr>
              <w:t>61.3%</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(in millions)</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Earnings per share (diluted)</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22"/>
                <w:szCs w:val="22"/>
                <w:color w:val="auto"/>
              </w:rPr>
            </w:pPr>
          </w:p>
        </w:tc>
        <w:tc>
          <w:tcPr>
            <w:tcW w:w="40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640"/>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Measures: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Gross margin (in millions)(6)</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22"/>
                <w:szCs w:val="22"/>
                <w:color w:val="auto"/>
              </w:rPr>
            </w:pPr>
          </w:p>
        </w:tc>
        <w:tc>
          <w:tcPr>
            <w:tcW w:w="40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552.6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540"/>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 as a % of net revenue(6)</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29.9%</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EBITDA (in millions)</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22"/>
                <w:szCs w:val="22"/>
                <w:color w:val="auto"/>
              </w:rPr>
            </w:pPr>
          </w:p>
        </w:tc>
        <w:tc>
          <w:tcPr>
            <w:tcW w:w="40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236.5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540"/>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EBITDA as a % of net revenue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14.0%</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EBITDA as a % of gross margin(6)</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w w:val="97"/>
              </w:rPr>
              <w:t>46.7%</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Earnings (in millions)</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Adjusted Earnings per share (diluted)</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22"/>
                <w:szCs w:val="22"/>
                <w:color w:val="auto"/>
              </w:rPr>
            </w:pPr>
          </w:p>
        </w:tc>
        <w:tc>
          <w:tcPr>
            <w:tcW w:w="40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64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2"/>
                <w:szCs w:val="22"/>
                <w:color w:val="auto"/>
              </w:rPr>
            </w:pPr>
          </w:p>
        </w:tc>
      </w:tr>
      <w:tr>
        <w:trPr>
          <w:trHeight w:val="229"/>
        </w:trPr>
        <w:tc>
          <w:tcPr>
            <w:tcW w:w="5360" w:type="dxa"/>
            <w:vAlign w:val="bottom"/>
            <w:gridSpan w:val="2"/>
          </w:tcPr>
          <w:p>
            <w:pPr>
              <w:jc w:val="right"/>
              <w:ind w:right="4070"/>
              <w:spacing w:after="0"/>
              <w:rPr>
                <w:sz w:val="20"/>
                <w:szCs w:val="20"/>
                <w:color w:val="auto"/>
              </w:rPr>
            </w:pPr>
            <w:r>
              <w:rPr>
                <w:rFonts w:ascii="Arial" w:cs="Arial" w:eastAsia="Arial" w:hAnsi="Arial"/>
                <w:sz w:val="18"/>
                <w:szCs w:val="18"/>
                <w:color w:val="auto"/>
                <w:w w:val="98"/>
              </w:rPr>
              <w:t>____________</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660" w:right="20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 In 2011, we consolidated the operations of UVEST with LPL Financial which resulted, as expected, in attrition of 146 advisors in 2011. Excluding attrition from the integration of the UVEST platform, we added 671 net new advisors during the twelve months ended June 30, 2012, continuing to build relationships with advisors from all channels across the financial services industry.</w:t>
      </w:r>
    </w:p>
    <w:p>
      <w:pPr>
        <w:spacing w:after="0" w:line="96"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client assets held in retirement plans administered by us, trust assets supported by Concord Capital Partners ("Concord") and assets supported by Fortigent Holdings Company, Inc.</w:t>
      </w:r>
    </w:p>
    <w:p>
      <w:pPr>
        <w:spacing w:after="0" w:line="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2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Net new advisory assets for the three months ended June 30, 2012 and 2011 were $2.8 billion and $3.1 billion, respectively.</w:t>
      </w:r>
    </w:p>
    <w:p>
      <w:pPr>
        <w:spacing w:after="0" w:line="93"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fees, asset-based fees, trailing commission fees, fees related to our cash sweep</w:t>
      </w:r>
    </w:p>
    <w:p>
      <w:pPr>
        <w:sectPr>
          <w:pgSz w:w="11900" w:h="16838" w:orient="portrait"/>
          <w:cols w:equalWidth="0" w:num="1">
            <w:col w:w="11420"/>
          </w:cols>
          <w:pgMar w:left="240" w:top="576"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76" w:right="239" w:bottom="1440" w:gutter="0" w:footer="0" w:header="0"/>
          <w:type w:val="continuous"/>
        </w:sectPr>
      </w:pPr>
    </w:p>
    <w:bookmarkStart w:id="32" w:name="page33"/>
    <w:bookmarkEnd w:id="32"/>
    <w:p>
      <w:pPr>
        <w:ind w:left="660"/>
        <w:spacing w:after="0"/>
        <w:rPr>
          <w:sz w:val="20"/>
          <w:szCs w:val="20"/>
          <w:color w:val="auto"/>
        </w:rPr>
      </w:pPr>
      <w:r>
        <w:rPr>
          <w:rFonts w:ascii="Arial" w:cs="Arial" w:eastAsia="Arial" w:hAnsi="Arial"/>
          <w:sz w:val="18"/>
          <w:szCs w:val="18"/>
          <w:color w:val="auto"/>
        </w:rPr>
        <w:t>programs, interest earned on margin accounts and technology and service fees, and is not meant as a substitute for net revenues.</w:t>
      </w:r>
    </w:p>
    <w:p>
      <w:pPr>
        <w:spacing w:after="0" w:line="131" w:lineRule="exact"/>
        <w:rPr>
          <w:sz w:val="20"/>
          <w:szCs w:val="20"/>
          <w:color w:val="auto"/>
        </w:rPr>
      </w:pPr>
    </w:p>
    <w:p>
      <w:pPr>
        <w:ind w:left="660" w:right="100" w:hanging="328"/>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commissions and advisory fees and (ii) brokerage, clearing and exchange. All other expense categories, including depreciation and amortization, are considered general and administrative in nature. Because our gross margin amounts do not include any depreciation and amortization expense, we consider our gross margin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520" w:right="16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 and</w:t>
      </w:r>
    </w:p>
    <w:p>
      <w:pPr>
        <w:spacing w:after="0" w:line="196" w:lineRule="exact"/>
        <w:rPr>
          <w:rFonts w:ascii="Arial" w:cs="Arial" w:eastAsia="Arial" w:hAnsi="Arial"/>
          <w:sz w:val="18"/>
          <w:szCs w:val="18"/>
          <w:color w:val="auto"/>
        </w:rPr>
      </w:pPr>
    </w:p>
    <w:p>
      <w:pPr>
        <w:ind w:left="520" w:right="260" w:hanging="120"/>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02"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625" w:right="379" w:bottom="1440" w:gutter="0" w:footer="0" w:header="0"/>
        </w:sectPr>
      </w:pPr>
    </w:p>
    <w:bookmarkStart w:id="33" w:name="page34"/>
    <w:bookmarkEnd w:id="33"/>
    <w:p>
      <w:pPr>
        <w:ind w:left="520" w:right="340" w:hanging="120"/>
        <w:spacing w:after="0" w:line="262"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2011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80,681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94,506</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18,154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29,471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29,972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53,490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62,531</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9,686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19,223</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8,721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17,349</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98,159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112,040</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198,229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229,935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costs(5)</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Other(7)</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10,957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38,305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111,579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122,997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236,534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247,328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117"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June 30, 2012, approximately 78% and 97%, respectively, of costs related to these two initiatives have been recognized. The remaining costs largely consist of transition payments to be made in connection with these two conversions for the retention of advisors and institutions, and conversion and transfer costs that are expected to be recognized into earnings by December 2014.</w:t>
      </w:r>
    </w:p>
    <w:p>
      <w:pPr>
        <w:spacing w:after="0" w:line="97"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the Company's Third Amended and Restated Credit Agreement, including the write-off of $16.5 million of unamortized debt issuance costs that have no future economic benefit, as well as various other charges incurred in connection with the repayment under the prior senior secured credit facilities and the establishment of the new senior secured credit facilities.</w:t>
      </w:r>
    </w:p>
    <w:p>
      <w:pPr>
        <w:spacing w:after="0" w:line="96"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a secondary offering in the second quarter of 2012, and the closing of a secondary offering in the second quarter of 2011.</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8"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(7) Represents certain excise and other taxes.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48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right="20" w:firstLine="8"/>
        <w:spacing w:after="0" w:line="256"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(f) equity issuance and related offering costs and (g) other. Reconciling items are tax effected using the income tax rates in effect for the applicable period, adjusted for any potentially non-deductible amounts.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280" w:hanging="120"/>
        <w:spacing w:after="0" w:line="262"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share-based compensation expense is not a key measure of our operating performance;</w:t>
      </w:r>
    </w:p>
    <w:p>
      <w:pPr>
        <w:spacing w:after="0" w:line="196" w:lineRule="exact"/>
        <w:rPr>
          <w:rFonts w:ascii="Arial" w:cs="Arial" w:eastAsia="Arial" w:hAnsi="Arial"/>
          <w:sz w:val="18"/>
          <w:szCs w:val="18"/>
          <w:color w:val="auto"/>
        </w:rPr>
      </w:pPr>
    </w:p>
    <w:p>
      <w:pPr>
        <w:jc w:val="both"/>
        <w:ind w:left="520" w:hanging="120"/>
        <w:spacing w:after="0" w:line="256"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120" w:hanging="120"/>
        <w:spacing w:after="0" w:line="25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4"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60" w:hanging="120"/>
        <w:spacing w:after="0" w:line="262"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180" w:hanging="120"/>
        <w:spacing w:after="0" w:line="262"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98" w:right="259" w:bottom="1440" w:gutter="0" w:footer="0" w:header="0"/>
        </w:sectPr>
      </w:pPr>
    </w:p>
    <w:bookmarkStart w:id="35" w:name="page36"/>
    <w:bookmarkEnd w:id="35"/>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three and six months ended June 30, 2012 and 2011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39,502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45,507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80,681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94,506</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After-Tax:</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5,578</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1,829</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3,353</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1,012</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9,333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25,287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11,813</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software(1)</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11,861</w:t>
            </w:r>
          </w:p>
        </w:tc>
      </w:tr>
      <w:tr>
        <w:trPr>
          <w:trHeight w:val="297"/>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Adjusted Earnings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54,973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58,807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118,172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118,180</w:t>
            </w:r>
          </w:p>
        </w:tc>
      </w:tr>
      <w:tr>
        <w:trPr>
          <w:trHeight w:val="23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Earnings per share(4)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57"/>
        </w:trPr>
        <w:tc>
          <w:tcPr>
            <w:tcW w:w="5580" w:type="dxa"/>
            <w:vAlign w:val="bottom"/>
          </w:tcPr>
          <w:p>
            <w:pPr>
              <w:ind w:left="80"/>
              <w:spacing w:after="0"/>
              <w:rPr>
                <w:sz w:val="20"/>
                <w:szCs w:val="20"/>
                <w:color w:val="auto"/>
              </w:rPr>
            </w:pPr>
            <w:r>
              <w:rPr>
                <w:rFonts w:ascii="Arial" w:cs="Arial" w:eastAsia="Arial" w:hAnsi="Arial"/>
                <w:sz w:val="18"/>
                <w:szCs w:val="18"/>
                <w:color w:val="auto"/>
              </w:rPr>
              <w:t>Weighted average shares outstanding — diluted(5)</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112,834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113,150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112,679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113,155</w:t>
            </w: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ind w:left="660" w:right="4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net of the federal tax benefit, for the periods presented.</w:t>
      </w:r>
    </w:p>
    <w:p>
      <w:pPr>
        <w:spacing w:after="0" w:line="88" w:lineRule="exact"/>
        <w:rPr>
          <w:rFonts w:ascii="Arial" w:cs="Arial" w:eastAsia="Arial" w:hAnsi="Arial"/>
          <w:sz w:val="18"/>
          <w:szCs w:val="18"/>
          <w:color w:val="auto"/>
        </w:rPr>
      </w:pPr>
    </w:p>
    <w:p>
      <w:pPr>
        <w:ind w:left="660" w:right="220" w:hanging="328"/>
        <w:spacing w:after="0" w:line="25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 exercise, and the full expense impact of incentive stock options granted to employees that have vested and qualify for preferential tax treatment and conversely, we do not receive a tax deduction. Share-based compensation for vesting of incentive stock options was $1.6 million and $1.5 million, respectively, for the three months ended June 30, 2012 and 2011. For the six month periods ending June 30, 2012 and 2011, share-based compensation for vesting of incentive stock options was $3.2 million and $2.8 million, respectively.</w:t>
      </w:r>
    </w:p>
    <w:p>
      <w:pPr>
        <w:spacing w:after="0" w:line="97" w:lineRule="exact"/>
        <w:rPr>
          <w:rFonts w:ascii="Arial" w:cs="Arial" w:eastAsia="Arial" w:hAnsi="Arial"/>
          <w:sz w:val="18"/>
          <w:szCs w:val="18"/>
          <w:color w:val="auto"/>
        </w:rPr>
      </w:pPr>
    </w:p>
    <w:p>
      <w:pPr>
        <w:jc w:val="both"/>
        <w:ind w:left="660" w:right="16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in which we receive a tax deduction, and the full expense impact of transaction costs for which we do not receive a tax deduction. Non-deductible transaction costs were $1.2 million for the three and six months ended June 30, 2012.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14" w:right="239" w:bottom="1440" w:gutter="0" w:footer="0" w:header="0"/>
        </w:sectPr>
      </w:pPr>
    </w:p>
    <w:bookmarkStart w:id="36" w:name="page37"/>
    <w:bookmarkEnd w:id="36"/>
    <w:p>
      <w:pPr>
        <w:ind w:left="660" w:right="30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per share on a fully diluted basis as calculated in accordance with GAAP to Adjusted Earnings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Adjustment for allocation of undistributed earnings to stock units</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EBITDA Adjustments per share</w:t>
            </w:r>
          </w:p>
        </w:tc>
        <w:tc>
          <w:tcPr>
            <w:tcW w:w="2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0.11</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 assets and software per share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Adjusted Earnings per share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right="100" w:hanging="328"/>
        <w:spacing w:after="0" w:line="254" w:lineRule="auto"/>
        <w:tabs>
          <w:tab w:leader="none" w:pos="6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within the weighted average share count for the three and six months ended June 30, 2012, is approximately 850,000 shares resulting from the distribution pursuant to the 2008 Nonqualified Deferred Compensation Plan in February 2012 that were not included in the weighted average share count for the three and six months ended June 30, 2011. See Note 11 of our unaudited condensed consolidated financial statements 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 The following describes significant acquisition and integration activities that have impacted our 2011 and 2012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included the consolidation of the operations of our subsidiary, UVEST, with those of LPL Financial. In connection with the consolidation of UVEST, certain registered representatives formerly associated with UVEST moved to LPL Financial through a transfer of their licenses. The transfers began in July 2011 and were completed in December 2011. Following the transfer, all registered representatives and client accounts that transferred are associated with LPL Financial. UVEST has withdrawn its registration with the Financial Industry Regulatory Authority ("FINRA") effective July 16, 2012, and is no longer subject to net capital filing requirements.</w:t>
      </w:r>
    </w:p>
    <w:p>
      <w:pPr>
        <w:spacing w:after="0" w:line="209"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We expect to improve pre-tax profitability by approximately $10.0 million per year upon the completion of integration activities by creating operational efficiencies and revenue opportunities. See Note 4 of our unaudited condensed consolidated financial statements for further details on this initiative.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Concord. As of June 30, 2012, $1.3 million remains in an escrow account to be paid to former shareholders of Concord in accordance with the terms of the stock purchase agreement. We may be required to pay future consideration that is contingent upon the achievement of certain gross margin-based milestones for the year ended December 31, 2013. We estimated the fair value of the contingent consideration at the close of the transaction and re-measure contingent consideration at fair value at each interim reporting period with changes recognized in earnings. Concord is a registered investment advisory firm that provides technology and open architecture investment management solutions for trust departments of financial institutions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03"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high net worth solutions and consulting services to registered investment advisors, banks, and trust companies. This strategic acquisition further enhances our capabilities and offers an extension of our existing services for wealth management advisors.</w:t>
      </w:r>
    </w:p>
    <w:p>
      <w:pPr>
        <w:spacing w:after="0" w:line="165"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Total purchase price consideration at the closing of the transaction was $38.8 million. As of June 30, 2012, $9.9 million remains in an escrow account to be paid to former shareholders of Fortigent in accordance with the terms of the stock purchase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Veritat Advisors, Inc.</w:t>
      </w:r>
    </w:p>
    <w:p>
      <w:pPr>
        <w:spacing w:after="0" w:line="20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July 10, 2012, we acquired all of the outstanding common stock of Veritat Advisors, Inc. ("Veritat"). We paid $ 5.1 million at the closing of the transaction. We may be required to pay future consideration to the former Veritat shareholders that is contingent upon the achievement of certain assets under management milestones and employee retention. The maximum amount of contingent payments is $14.9 million over the next five years. Veritat is a registered investment advisory firm that developed and utilizes a proprietary online financial planning platform designed to support advisors who serve the mass market. This strategic acquisition will enhance our technological capabilities and support our recent initiative to serve the mass market by increasing the flexibility of our service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After a fairly steady rise in first quarter of 2012, the second quarter saw the U.S. domestic equity markets return to the volatile nature that we have experienced intermittently over the last few years. The S&amp;P 500 fell from its March 31, 2012 close of 1,408 by 7.0% in the first two months of the quarter, before advancing 4.0% in June to close the quarter at 1,362, a 3.3% decrease for the quarter. This decline was primarily driven by continued sovereign debt concerns in Europe coupled with signs of slowing economic growth in the United States and uncertainty over ongoing United States fiscal policy. While the longer-term impact of the European debt crisis is uncertain, we continue to maintain nominal direct exposure to sovereign debt securities.</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response to these concerns and the overall economic environment, the central banks, including the Federal Reserve, have continued to maintain historically low interest rates. The average federal funds effective rate was 0.15% in the second quarter of 2012, an increase from the average of 0.09% in the second quarter of 2011. The low interest rate environment negatively impacted our revenues from client assets in our cash sweep programs. The low interest rate also impacted investor demand for fixed income securities and fixed annuities. The Federal Reserve has indicated that it plans to maintain a low interest rate environment through the end of 2014, although it has also signaled that a third round of quantitative easing will not be launched, which is reflected in the minor increases in the federal funds rate in each month during the second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six months ended June 30, 2012 and 2011. Where appropriate, we have identified specific events and changes that affect comparability or trends, and where possible and practical, have quantified the impact of such items.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3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2"/>
                <w:szCs w:val="22"/>
                <w:color w:val="auto"/>
              </w:rPr>
            </w:pPr>
          </w:p>
        </w:tc>
        <w:tc>
          <w:tcPr>
            <w:tcW w:w="10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5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8"/>
        </w:trPr>
        <w:tc>
          <w:tcPr>
            <w:tcW w:w="3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174"/>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0"/>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3560" w:type="dxa"/>
            <w:vAlign w:val="bottom"/>
          </w:tcPr>
          <w:p>
            <w:pPr>
              <w:ind w:left="80"/>
              <w:spacing w:after="0"/>
              <w:rPr>
                <w:sz w:val="20"/>
                <w:szCs w:val="20"/>
                <w:color w:val="auto"/>
              </w:rPr>
            </w:pPr>
            <w:r>
              <w:rPr>
                <w:rFonts w:ascii="Arial" w:cs="Arial" w:eastAsia="Arial" w:hAnsi="Arial"/>
                <w:sz w:val="18"/>
                <w:szCs w:val="18"/>
                <w:color w:val="auto"/>
              </w:rPr>
              <w:t>Commissions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447,243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459,882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910,896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911,759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fees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268,192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264,289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519,173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508,376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63"/>
        </w:trPr>
        <w:tc>
          <w:tcPr>
            <w:tcW w:w="3560" w:type="dxa"/>
            <w:vAlign w:val="bottom"/>
          </w:tcPr>
          <w:p>
            <w:pPr>
              <w:ind w:left="80"/>
              <w:spacing w:after="0"/>
              <w:rPr>
                <w:sz w:val="20"/>
                <w:szCs w:val="20"/>
                <w:color w:val="auto"/>
              </w:rPr>
            </w:pPr>
            <w:r>
              <w:rPr>
                <w:rFonts w:ascii="Arial" w:cs="Arial" w:eastAsia="Arial" w:hAnsi="Arial"/>
                <w:sz w:val="18"/>
                <w:szCs w:val="18"/>
                <w:color w:val="auto"/>
              </w:rPr>
              <w:t>Asset-based fees</w:t>
            </w:r>
          </w:p>
        </w:tc>
        <w:tc>
          <w:tcPr>
            <w:tcW w:w="14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102,784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90,504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200,025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180,327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r>
        <w:trPr>
          <w:trHeight w:val="27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 fees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78,894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153,466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64"/>
        </w:trPr>
        <w:tc>
          <w:tcPr>
            <w:tcW w:w="3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10,730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10,566</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24,899</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4.6 %</w:t>
            </w:r>
          </w:p>
        </w:tc>
      </w:tr>
      <w:tr>
        <w:trPr>
          <w:trHeight w:val="270"/>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907,843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893,996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1,809,616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1,767,865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57"/>
        </w:trPr>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630,136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634,088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1,257,043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1,238,415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63"/>
        </w:trPr>
        <w:tc>
          <w:tcPr>
            <w:tcW w:w="356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93,034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81,410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182,046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165,552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84,457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152,023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63"/>
        </w:trPr>
        <w:tc>
          <w:tcPr>
            <w:tcW w:w="35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18,407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34,587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36,572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7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57"/>
        </w:trPr>
        <w:tc>
          <w:tcPr>
            <w:tcW w:w="3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827,096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800,363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1,629,450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1,574,502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3.5 %</w:t>
            </w:r>
          </w:p>
        </w:tc>
      </w:tr>
      <w:tr>
        <w:trPr>
          <w:trHeight w:val="257"/>
        </w:trPr>
        <w:tc>
          <w:tcPr>
            <w:tcW w:w="3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36,326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64"/>
        </w:trPr>
        <w:tc>
          <w:tcPr>
            <w:tcW w:w="356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16,524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840,535</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818,517</w:t>
            </w:r>
          </w:p>
        </w:tc>
        <w:tc>
          <w:tcPr>
            <w:tcW w:w="1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1,675,445</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1,610,828</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187"/>
        </w:trPr>
        <w:tc>
          <w:tcPr>
            <w:tcW w:w="356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Income before provision for income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6"/>
        </w:trPr>
        <w:tc>
          <w:tcPr>
            <w:tcW w:w="3560" w:type="dxa"/>
            <w:vAlign w:val="bottom"/>
          </w:tcPr>
          <w:p>
            <w:pPr>
              <w:ind w:left="220"/>
              <w:spacing w:after="0"/>
              <w:rPr>
                <w:sz w:val="20"/>
                <w:szCs w:val="20"/>
                <w:color w:val="auto"/>
              </w:rPr>
            </w:pPr>
            <w:r>
              <w:rPr>
                <w:rFonts w:ascii="Arial" w:cs="Arial" w:eastAsia="Arial" w:hAnsi="Arial"/>
                <w:sz w:val="18"/>
                <w:szCs w:val="18"/>
                <w:b w:val="1"/>
                <w:bCs w:val="1"/>
                <w:color w:val="auto"/>
              </w:rPr>
              <w:t>taxes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75,479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157,037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9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27,806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29,972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53,490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45,507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80,681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94,506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-130175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-130175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576"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4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June 30, 2012 and 2011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202,710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201,496</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122,128</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130,933</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33,189</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26,467</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27,062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36,703</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23,207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24,466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19,982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22,019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16,945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4"/>
        </w:trPr>
        <w:tc>
          <w:tcPr>
            <w:tcW w:w="3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(62.7)%</w:t>
            </w:r>
          </w:p>
        </w:tc>
      </w:tr>
      <w:tr>
        <w:trPr>
          <w:trHeight w:val="257"/>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447,243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459,882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Commission revenue decreased by $12.6 million, or 2.7%, for the three months ended June 30, 2012 compared with 2011. The continued low interest rate environment, which has reduced investor demand for fixed annuities and fixed income securities, is reflected in the decline in commission revenues for these two products.</w:t>
      </w:r>
    </w:p>
    <w:p>
      <w:pPr>
        <w:spacing w:after="0" w:line="10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combination of low interest rates and market volatility impacted sales commissions for variable annuities due to its impact on product design. Recently, insurers have been lowering the amount of risk they are willing to retain on variable annuity products by reducing certain insurance benefits, thereby making the products less attractive to investors. The slight growth in revenues for variable annuities is based on increased trail-based commissions.</w:t>
      </w:r>
    </w:p>
    <w:p>
      <w:pPr>
        <w:spacing w:after="0" w:line="110"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decrease seen in mutual fund commission revenue is a result of a slower rate of mutual fund sales combined with an increased rate of mutual fund redemptions. The increase in alternative investments is reflective of investor preferences for diversification and non-correlated ways to earn return outside of the traditional equity and fixed income markets. Income producing alternative strategies continue to grow in popularity as the needs of investors shift toward distribution, while insurance commissions increased on improved single premium life sales.</w:t>
      </w:r>
    </w:p>
    <w:p>
      <w:pPr>
        <w:spacing w:after="0" w:line="204"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six months ended June 30, 2012 and 2011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406,755</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396,573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244,806</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249,090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54,443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55,819</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79,454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49,363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52,302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3"/>
        </w:trPr>
        <w:tc>
          <w:tcPr>
            <w:tcW w:w="33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42,480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45,502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77"/>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39,592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32,886</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64"/>
        </w:trPr>
        <w:tc>
          <w:tcPr>
            <w:tcW w:w="3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(67.8)%</w:t>
            </w:r>
          </w:p>
        </w:tc>
      </w:tr>
      <w:tr>
        <w:trPr>
          <w:trHeight w:val="257"/>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910,896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911,759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Commission revenue decreased by $0.9 million, or 0.1%, for the six months ended June 30, 2012 compared with 2011. This decrease was a result of the same factors that impacted our quarterly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Advisory Fees</w:t>
      </w:r>
    </w:p>
    <w:p>
      <w:pPr>
        <w:spacing w:after="0" w:line="2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Advisory fees increased by $3.9 million, or 1.5%, for the three months ended June 30, 2012 compared to 2011. Advisory revenue for a particular quarter is primarily driven by the level of advisory assets and market movements. For the three months ended June 30, 2012, we experienced an increase in net new advisory assets of $ 2.8 billion resulting from strong new business development and a shift by our existing advisors toward more advisory business. The continued shift of advisors to the Independent RIA platform, a re-pricing in one of our significant agreements and market declines have partially offset the growth in advisory fees resulting from the increase in net new advisory assets.</w:t>
      </w:r>
    </w:p>
    <w:p>
      <w:pPr>
        <w:spacing w:after="0" w:line="193"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Advisory fees increased by $10.8 million, or 2.1%, for the six months ended June 30, 2012 compared to 2011. This growth was similarly supported by the same net new advisory asset flows and shift of advisors toward more advisory business that impacted our quarterly performance in addition to a positive market impact for the six months ended June 30, 2012.</w:t>
      </w:r>
    </w:p>
    <w:p>
      <w:pPr>
        <w:spacing w:after="0" w:line="10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management for the three and six months ended June 30, 2012 and 2011 (in billions):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w w:val="89"/>
              </w:rPr>
              <w:t>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55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111.4</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w:t>
            </w: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Fees</w:t>
      </w:r>
    </w:p>
    <w:p>
      <w:pPr>
        <w:spacing w:after="0" w:line="203"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Asset-based fees increased by $12.3 million, or 13.6%, to $102.8 million for the three months ended June 30, 2012 compared with 2011. A leading factor for the increase in asset-based fees is the UVEST conversion, which enables LPL Financial to earn revenues for certain services that it performs as the clearing firm. Previously, a third-party clearing firm performed these services and retained these revenues. In addition,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the three months ended June 30, 2012 was 1,350, an increase of 2.4% over the average in the prior year period. Asset-based fees also include revenues from our cash sweep programs, which increased by $4.3 million, or 14.4%, to $ 34.1 million for the three months ended June 30, 2012 from $29.8 million for the three months ended June 30, 2011. This was driven by an increase in the assets in our cash sweep programs, which averaged $22.6 billion and $19.5 billion for the three months ended June 30, 2012 and 2011, respectively, as retail investors increased their percentage of cash assets in response to the volatility in the financial markets.</w:t>
      </w:r>
    </w:p>
    <w:p>
      <w:pPr>
        <w:spacing w:after="0" w:line="17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Asset-based fees increased by $19.7 million, or 10.9%, to $200.0 million for the six months ended June 30, 2012 compared with 2011. Asset-based fees increased partially as a result of the UVEST conversion. In addition,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the six months ended June 30, 2012 was 1,349, an increase of 3.0% over the average in the prior year period. Asset-based fees also include revenues from our cash sweep programs, which increased by $7.0 million, or 11.4%, to $68.5 million for the six months ended June 30, 2012 from $61.5 million for the six months ended June 30, 2011. This was driven by an increase in the assets in our cash sweep programs, which averaged $22.0 billion and $19.2 billion for the six months ended June 30, 2012 and 2011, respectively, as retail investors increased their percentage of cash assets in response to the volatility in the financial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203"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Transaction and other fees increased by $10.1 million, or 14.7%, for the three months ended June 30, 2012 compared with 2011. Transaction and other fees increased due to a 4.0% increase in the average number of advisors for the three months ended June 30, 2012 compared to 2011, increases in fees earned on those advisors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jc w:val="both"/>
        <w:ind w:right="80"/>
        <w:spacing w:after="0" w:line="256" w:lineRule="auto"/>
        <w:rPr>
          <w:sz w:val="20"/>
          <w:szCs w:val="20"/>
          <w:color w:val="auto"/>
        </w:rPr>
      </w:pPr>
      <w:r>
        <w:rPr>
          <w:rFonts w:ascii="Arial" w:cs="Arial" w:eastAsia="Arial" w:hAnsi="Arial"/>
          <w:sz w:val="18"/>
          <w:szCs w:val="18"/>
          <w:color w:val="auto"/>
        </w:rPr>
        <w:t>and institutions who converted to the LPL Financial platform from UVEST and increases due to a repricing of certain services. Revenues in the current quarter of 2012 also include increased conference revenues due to a shift in timing of a conference from the first quarter in 2011 to the second quarter in 2012 and fee revenues from Fortigent.</w:t>
      </w:r>
    </w:p>
    <w:p>
      <w:pPr>
        <w:spacing w:after="0" w:line="161"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Transaction and other fees increased by $11.0 million, or 7.7%, for the six months ended June 30, 2012 compared with 2011. Transaction and other fees increased due to a 3.7% increase in the average number of advisors for the six months ended June 30, 2012 compared to 2011, increases in fees earned on those advisors and institutions who converted to the LPL Financial platform from UVEST and increases due to a repricing of certain services. Lower volumes of trading in certain advisory accounts reduced transaction revenues partially offsetting these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Other revenue increased $0.2 million, or 1.6%, to $10.7 million for the three months ended June 30, 2012 compared to 2011. The primary contributor to this increase in 2012 was direct investment marketing allowance fees received from product sponsor programs, which increased by $1.2 million compared to the same period in 2011, largely based on increased sales of alternative investments.</w:t>
      </w:r>
    </w:p>
    <w:p>
      <w:pPr>
        <w:spacing w:after="0" w:line="161"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Other revenue increased $1.2 million, or 4.6%, to $ 26.1 million for the six months ended June 30, 2012 compared to 2011. The primary contributor to this increase in 2012 was direct investment marketing allowance fees received from product sponsor programs, which increased by $3.0 million compared to the same period in 2011, largely based on increased sales of alternative investments. An additional contributor to the increase was growth in retirement sponsorship programs of $2.0 million, an effect of our acquisition of NRP.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03" w:lineRule="exact"/>
        <w:rPr>
          <w:sz w:val="20"/>
          <w:szCs w:val="20"/>
          <w:color w:val="auto"/>
        </w:rPr>
      </w:pPr>
    </w:p>
    <w:p>
      <w:pPr>
        <w:ind w:right="80" w:firstLine="486"/>
        <w:spacing w:after="0" w:line="250" w:lineRule="auto"/>
        <w:rPr>
          <w:sz w:val="20"/>
          <w:szCs w:val="20"/>
          <w:color w:val="auto"/>
        </w:rPr>
      </w:pPr>
      <w:r>
        <w:rPr>
          <w:rFonts w:ascii="Arial" w:cs="Arial" w:eastAsia="Arial" w:hAnsi="Arial"/>
          <w:sz w:val="18"/>
          <w:szCs w:val="18"/>
          <w:color w:val="auto"/>
        </w:rPr>
        <w:t>Production expenses decreased by $4.0 million, or 0.6%, for the three months ended June 30, 2012 compared with 2011. This decrease is correlated with our commission and advisory revenues, which decreased by 1.2% during the same period. Our production payout was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86.74% for the three months ended June 30, 2012, compared to 86.26% for the prior year period. The base payout rate increased by 0.58% for the three months ended June 30, 2012, due to the impact from UVEST institutions that converted to the LPL Financial platform and the growth of our larger advisor practices. The increase in our production based bonuses for the three months ended June 30, 2012 reflects our advisors trend of attaining higher payout tiers earlier in the year.</w:t>
      </w:r>
    </w:p>
    <w:p>
      <w:pPr>
        <w:spacing w:after="0" w:line="16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Production expenses increased by $18.6 million, or 1.5%, for the six months ended June 30, 2012 compared with 2011. This increase is correlated with our commission and advisory revenues, which increased by 0.7% during the same period. Our production payout was 86.57% for the six months ended June 30, 2012, compared to 85.86% for the prior year period. The base payout rate for the six months ended June 30, 2012 compared with 2011 reflects increases in payout for UVEST institutions that converted to the LPL Financial platform and the growth of larger advisor practices. Our production based bonuses increased by 0.40% for the six months ended June 30, 2012 due to the incentive structures, which reward our advisors as they achieve higher production levels.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six months ended June 30, 2012 and 2011: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For the Three Months Ended</w:t>
            </w: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rPr>
              <w:t>For the Six Months Ended June</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84.27 %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23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86.84 %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23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86.74 %</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310"/>
              <w:spacing w:after="0"/>
              <w:rPr>
                <w:sz w:val="20"/>
                <w:szCs w:val="20"/>
                <w:color w:val="auto"/>
              </w:rPr>
            </w:pPr>
            <w:r>
              <w:rPr>
                <w:rFonts w:ascii="Arial" w:cs="Arial" w:eastAsia="Arial" w:hAnsi="Arial"/>
                <w:sz w:val="18"/>
                <w:szCs w:val="18"/>
                <w:color w:val="auto"/>
              </w:rPr>
              <w:t>39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9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Compensation and benefits increased by $11.6 million, or 14.3%, for the three months ended June 30, 2012 compared with 2011. The increase was due to higher staffing levels to support higher levels of advisor and client activities and our acquisitions of Fortigent and Concord. Our average number of full-time employees increased 7.9% from 2,674 for the three months ended June 30, 2011 to 2,886 for the three months ended June 30, 2012.</w:t>
      </w:r>
    </w:p>
    <w:p>
      <w:pPr>
        <w:spacing w:after="0" w:line="16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Compensation and benefits increased by $16.5 million, or 10.0%, for the six months ended June 30, 2012 compared with 2011. Our average number of full-time employees increased 5.8% from 2,651 for the six months ended June 30, 2011 to 2,805 for the six months ended June 30, 2012, due to our acquisitions of Fortigent and Concord and increases in staffing to support higher levels of advisor and client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General and administrative expenses increased by $22.8 million, or 37.0%, to $84.5 million for the three months ended June 30, 2012 compared with 2011. The primary drivers behind the increase were business development and promotional expenses, professional fees and an increase in conference expenses. The increase in conference expenses is due to an advisor conference that occurred in the first quarter of 2011 which occurred in the second quarter of 2012. Expenses of $8.0 million related to our acquisitions of Fortigent and Concord also contributed to the increase.</w:t>
      </w:r>
    </w:p>
    <w:p>
      <w:pPr>
        <w:spacing w:after="0" w:line="165"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General and administrative expenses increased by $23.4 million, or 18.2%, to $152.0 million for the six months ended June 30, 2012 compared with 2011. The primary drivers behind the increase were business development and promotional expenses, professional fees and expenses related to our acquisitions of Fortigent and Concord.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For the three months ended June 30, 2012, depreciation and amortization decreased by $1.0 million, or 5.4% compared to the prior year. This decrease is primarily due to a reduction in depreciation incurred in the second quarter of 2012, attributed to assets that became fully depreciated in 2011.</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six months ended June 30, 2012, depreciation and amortization decreased by $2.0 million, or 5.4% compared to the prior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decrease is due to a reduction in depreciation incurred in the first half of 2012, attributed to assets that became fully depreciated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2011 consolidation of UVEST and our 2009 consolidation of the Affiliated Entities.</w:t>
      </w:r>
    </w:p>
    <w:p>
      <w:pPr>
        <w:spacing w:after="0" w:line="15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Restructuring charges were $2.1 million and $3.8 million for the three and six months ended June 30, 2012. These charges relate primarily to technology costs and other expenditures incurred for the conversion and transfer of advisors and their client accounts from UVEST to LPL Financial. Refer to Note 4 of our unaudited condensed consolidated financial statements for additional details regarding this matter.</w:t>
      </w:r>
    </w:p>
    <w:p>
      <w:pPr>
        <w:spacing w:after="0" w:line="10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Restructuring charges were $4.8 million and $ 5.4 million for the three and six months ended June 30, 2011, which related primarily to technology costs and other expenditures incurred in anticipation of the conversion and transfer of advisors and their client accounts from UVEST to LPL Financial, which began in the second quarter of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includes non-operating interest expense for our senior secured credit facilities.</w:t>
      </w:r>
    </w:p>
    <w:p>
      <w:pPr>
        <w:spacing w:after="0" w:line="185"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auto"/>
        </w:rPr>
        <w:t>Interest expense decreased $4.7 million, or 26.0%, for the three months ended June 30, 2012 compared with 2011. The reduction in interest expense for 2012 is primarily due to the reduction in interest rates on our debt as a result of its refinancing in March 2012. The refinancing reduced our interest expense by $2.7 million for the three months ended June 30, 2012 compared to 2011. Additionally, the maturity of an interest rate swap agreement with a notional value of $145.0 million on June 30, 2011, reduced our comparative interest expense by $1.6 million for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three months ended June 30, 2012 compared to 2011.</w:t>
      </w:r>
    </w:p>
    <w:p>
      <w:pPr>
        <w:spacing w:after="0" w:line="185" w:lineRule="exact"/>
        <w:rPr>
          <w:sz w:val="20"/>
          <w:szCs w:val="20"/>
          <w:color w:val="auto"/>
        </w:rPr>
      </w:pPr>
    </w:p>
    <w:p>
      <w:pPr>
        <w:ind w:right="600" w:firstLine="486"/>
        <w:spacing w:after="0" w:line="254" w:lineRule="auto"/>
        <w:rPr>
          <w:sz w:val="20"/>
          <w:szCs w:val="20"/>
          <w:color w:val="auto"/>
        </w:rPr>
      </w:pPr>
      <w:r>
        <w:rPr>
          <w:rFonts w:ascii="Arial" w:cs="Arial" w:eastAsia="Arial" w:hAnsi="Arial"/>
          <w:sz w:val="18"/>
          <w:szCs w:val="18"/>
          <w:color w:val="auto"/>
        </w:rPr>
        <w:t>Interest expense decreased $6.9 million, or 18.9%, for the six months ended June 30, 2012 compared with 2011. The reduction in interest expense for 2012 is due to a lowered interest rate on our debt as a result of its refinancing in March 2012 and the maturity of an interest rate swap agreement with a notional value of $145.0 million on June 30, 2011, which combined to result in a decrease to our comparative interest expense by $6.3 million for the six months ended June 30, 2012 compared to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180" w:firstLine="500"/>
        <w:spacing w:after="0" w:line="256" w:lineRule="auto"/>
        <w:rPr>
          <w:sz w:val="20"/>
          <w:szCs w:val="20"/>
          <w:color w:val="auto"/>
        </w:rPr>
      </w:pPr>
      <w:r>
        <w:rPr>
          <w:rFonts w:ascii="Arial" w:cs="Arial" w:eastAsia="Arial" w:hAnsi="Arial"/>
          <w:sz w:val="18"/>
          <w:szCs w:val="18"/>
          <w:color w:val="auto"/>
        </w:rPr>
        <w:t>Loss on extinguishment of debt was $ 16.5 million for the six months ending June 30, 2012. In March 2012, we refinanced and replaced our credit agreement primarily to extend the maturities on our borrowings and wrote off $16.5 million of unamortized debt issuance costs related to the previous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specific quarter of resolution. The effective income tax rates reflect the impact of state taxes, settlement contingencies and expenses that are not deductible for tax purposes.</w:t>
      </w:r>
    </w:p>
    <w:p>
      <w:pPr>
        <w:spacing w:after="0" w:line="16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During the three months ended June 30, 2012, we recorded income tax expense of $27.8 million, compared with $30.0 million in the prior year period. Our effective income tax rate was 41.3% and 39.7% for the three months ended June 30, 2012 and 2011, respectively. The effective income tax rate was higher in the 2012 period, due to the timing of non-deductible expenses between the first and second quarters of 2012 and a decrease in pre-tax income.</w:t>
      </w:r>
    </w:p>
    <w:p>
      <w:pPr>
        <w:spacing w:after="0" w:line="164"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During the six months ended June 30, 2012, we recorded income tax expense of $53.5 million, compared with $62.5 million in the prior year period. Our effective income tax rate was 39.9% and 39.8% for the six months ended June 30, 2012 and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For the Six Months Ended June 30,</w:t>
            </w:r>
          </w:p>
        </w:tc>
      </w:tr>
      <w:tr>
        <w:trPr>
          <w:trHeight w:val="264"/>
        </w:trPr>
        <w:tc>
          <w:tcPr>
            <w:tcW w:w="8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2011</w:t>
            </w:r>
          </w:p>
        </w:tc>
      </w:tr>
      <w:tr>
        <w:trPr>
          <w:trHeight w:val="270"/>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(used in) provided by:</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56,113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349,716</w:t>
            </w: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(36,310)</w:t>
            </w:r>
          </w:p>
        </w:tc>
      </w:tr>
      <w:tr>
        <w:trPr>
          <w:trHeight w:val="264"/>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(236,091)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(51,143)</w:t>
            </w:r>
          </w:p>
        </w:tc>
      </w:tr>
      <w:tr>
        <w:trPr>
          <w:trHeight w:val="257"/>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262,263</w:t>
            </w:r>
          </w:p>
        </w:tc>
      </w:tr>
      <w:tr>
        <w:trPr>
          <w:trHeight w:val="264"/>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720,772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419,208</w:t>
            </w:r>
          </w:p>
        </w:tc>
      </w:tr>
      <w:tr>
        <w:trPr>
          <w:trHeight w:val="25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481,056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681,471</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73" w:right="239" w:bottom="1440" w:gutter="0" w:footer="0" w:header="0"/>
        </w:sectPr>
      </w:pPr>
    </w:p>
    <w:bookmarkStart w:id="44" w:name="page45"/>
    <w:bookmarkEnd w:id="44"/>
    <w:p>
      <w:pPr>
        <w:ind w:right="40" w:firstLine="486"/>
        <w:spacing w:after="0" w:line="252" w:lineRule="auto"/>
        <w:rPr>
          <w:sz w:val="20"/>
          <w:szCs w:val="20"/>
          <w:color w:val="auto"/>
        </w:rPr>
      </w:pPr>
      <w:r>
        <w:rPr>
          <w:rFonts w:ascii="Arial" w:cs="Arial" w:eastAsia="Arial" w:hAnsi="Arial"/>
          <w:sz w:val="18"/>
          <w:szCs w:val="18"/>
          <w:color w:val="auto"/>
        </w:rPr>
        <w:t>Net cash used in or provided by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20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Net cash provided by operating activities for the six months ended June 30, 2012 and June 30, 2011 totaled $56.1 million and $349.7 million, respectively. The change between periods is primarily due to the settlement and funding of client trading activity, which was a net use of funds of $7.4 million for the six months ended June 30, 2012 and provided funds of $158.5 million for the comparable 2011 period. Cash flows from client activities fluctuate significantly depending on market conditions and timing. In 2012 operating activities also include a $48.4 million use of cash related to excess tax benefits from share-based compensation and a $41.2 million use of funds for other assets, partially offset by a reduction of $40.6 million in tax receivables. Net cash provided by operating activities for the six months ended June 30, 2011 includes an $181.8 million reduction in tax receivables that arose primarily from a tax benefit resulting from stock options exercised by selling stockholders in connection with our IPO and $147.7 million release of cash and securities segregated under regulations due to settlement of client trading activity, partially offset by $55.8 million of excess tax benefits resulting from stock options exercised in our IPO.</w:t>
      </w:r>
    </w:p>
    <w:p>
      <w:pPr>
        <w:spacing w:after="0" w:line="21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Net cash used in investing activities for the six months ended June 30, 2012 and 2011 totaled $59.7 million and $36.3 million, respectively. The net cash used in 2012 primarily consists of $38.8 million for the acquisition of Fortigent and $18.8 million in capital expenditures. The net cash used in 2011 included $37.2 million used for the acquisition of NRP and $12.5 million in capital expenditures, offset by a $18.5 million release of restricted cash.</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Net cash used in financing activities for the six months ended June 30, 2012 and 2011 was $236.1 million and $51.1 million, respectively. Cash flows used in financing activities in 2012 include $222.6 million of cash dividends paid and $55.9 million for repurchases of common stock, partially offset by $48.4 million from excess tax benefits arising from share-based compensation. Cash flows used in financing activities in 2011 include $47.0 million of cash used to pay down term loans under our senior secured credit facilities and $67.0 million used to repurchase common stock, offset by $55.8 million from excess tax benefits arising from stock options exercised related to our IPO.</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a revolving credit facility, will be adequate to satisfy our working capital needs, the payment of all of our obligations and the funding of anticipated capital expenditures for the foreseeable future. In addition, we have certain capital requirements due to our registered broker-dealer entity and we have met all capital adequacy requirements for this entity and expect this to also continue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20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March 2012, we announced our intent to seek the ability to issue a regular quarterly cash dividend of up to $ 0.48 per share annually on the Company's outstanding common stock. The payment of any dividends permitted under our credit facilities are subject to approval by the Company's Board of Directors, including both timing and amount. On July 30, 2012, the Board of Directors declared a cash dividend of $0.12 per share on the Company's outstanding common stock to be paid on August 30, 2012 to all stockholders of record on August 15,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August 16, 2011, the Board of Directors approved a share repurchase program pursuant to which we may repurchase $70.0 million of the Company's outstanding shares of common stock through August 31, 2012. The timing of purchases and the amount of stock purchased will be determined at our discretion. As of June 30, 2012, we repurchased 2.0 million shares of common stock at a weighted-average price of $32.05 per share for an aggregate purchase price of $64.9 million.</w:t>
      </w:r>
    </w:p>
    <w:p>
      <w:pPr>
        <w:spacing w:after="0" w:line="204"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On May 25, 2012, the Board of Directors approved a share repurchase program pursuant to which we may repurchase an additional $75.0 million of the Company's outstanding shares of common stock. There is no</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73" w:right="239" w:bottom="1440" w:gutter="0" w:footer="0" w:header="0"/>
        </w:sectPr>
      </w:pPr>
    </w:p>
    <w:bookmarkStart w:id="45" w:name="page46"/>
    <w:bookmarkEnd w:id="45"/>
    <w:p>
      <w:pPr>
        <w:ind w:right="220"/>
        <w:spacing w:after="0" w:line="256" w:lineRule="auto"/>
        <w:rPr>
          <w:sz w:val="20"/>
          <w:szCs w:val="20"/>
          <w:color w:val="auto"/>
        </w:rPr>
      </w:pPr>
      <w:r>
        <w:rPr>
          <w:rFonts w:ascii="Arial" w:cs="Arial" w:eastAsia="Arial" w:hAnsi="Arial"/>
          <w:sz w:val="18"/>
          <w:szCs w:val="18"/>
          <w:color w:val="auto"/>
        </w:rPr>
        <w:t>termination date for this share repurchase program. The purchases may effected in open market or privately negotiated transactions with the timing of purchases and the amount of stock purchased generally determined at our discretion. As of June 30, 2012, the we have made no repurchases of shares of common stock under this share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16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 average share count for the three and six months ended June 30, 2012 by approximately 850,000 shares.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w:t>
      </w:r>
    </w:p>
    <w:p>
      <w:pPr>
        <w:spacing w:after="0" w:line="207"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The dividend of $222.6 million was paid on May 25, 2012 to stockholders of record as of May 15,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July 20, 2012, the Internal Revenue Service (“IRS”) issued a Notice of Proposed Adjustment (the “Notice”) asserting we are subject to a penalty with respect to an alleged untimely deposit of withholding taxes related to wages paid upon exercise of certain non-qualified stock options in connection with our initial public offering in 2010. At this time, we are unable to provide a reasonable estimate of the potential range of ultimate liability because: (i) this matter is still in the early stages of discussion, (ii) we may dispute one or more legal positions asserted by the IRS and (iii) the defenses available will be dependent on the facts and circumstances of the transactions at issue. We plan to defend our position through applicable IRS and judicial procedures, as appropriate. Although the final resolution of the proposed adjustment is uncertain, we believe that the outcome will not be material to our financial position, but any penalty paid in connection with the Notice could have a material effect on our results of operations for the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93"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 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or sell securities which collateralize those margin accounts. As of June 30, 2012, we had received collateral in connection primarily with client margin loans with a fair value of approximately $343.5 million, which can be re-pledged or sold. Of this amount, approximately $21.2 million has been pledged to the Options Clearing Corporation as collateral to secure certain client obligations related to options positions, and approximately $23.2 million was loaned to the National Securities Clearing Corporation through participation in the Stock Borrow Program. Of the remaining $299.1 million, approximately $144.3 million of these securities are held at banks in connection with uncommitted lines of credit, which were unutilized at June 30, 2012; these securities may be used as collateral for loans from these banks. The remainder of $154.8 million has not been re-pledged or sold. There are no restrictions that materially limit our ability to re-pledge or sell the remaining $299.1 million of client collateral.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98" w:right="259" w:bottom="1440" w:gutter="0" w:footer="0" w:header="0"/>
        </w:sectPr>
      </w:pPr>
    </w:p>
    <w:bookmarkStart w:id="46" w:name="page47"/>
    <w:bookmarkEnd w:id="46"/>
    <w:p>
      <w:pPr>
        <w:ind w:right="1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204" w:lineRule="exact"/>
        <w:rPr>
          <w:sz w:val="20"/>
          <w:szCs w:val="20"/>
          <w:color w:val="auto"/>
        </w:rPr>
      </w:pPr>
    </w:p>
    <w:p>
      <w:pPr>
        <w:ind w:right="180" w:firstLine="486"/>
        <w:spacing w:after="0" w:line="250" w:lineRule="auto"/>
        <w:rPr>
          <w:sz w:val="20"/>
          <w:szCs w:val="20"/>
          <w:color w:val="auto"/>
        </w:rPr>
      </w:pPr>
      <w:r>
        <w:rPr>
          <w:rFonts w:ascii="Arial" w:cs="Arial" w:eastAsia="Arial" w:hAnsi="Arial"/>
          <w:sz w:val="18"/>
          <w:szCs w:val="18"/>
          <w:color w:val="auto"/>
        </w:rPr>
        <w:t>Our registered broker-dealer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UVEST computed net capital requirements under the aggregate indebtedness method, which requires firms to maintain minimum net capital, as defined, of not less than</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6.67% of aggregate indebtedness. In connection with the consolidation of UVEST with LPL Financial, we have withdrawn UVEST's registration with FINRA effective July 16, 2012; therefore, UVEST is no longer subject to net capital filing requirements.</w:t>
      </w:r>
    </w:p>
    <w:p>
      <w:pPr>
        <w:spacing w:after="0" w:line="196"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its minimum financial requirements. Currently the highest NFA requirement is the minimum net capital calculated pursuant to the SEC's Uniform Net Capital Rule.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June 30, 2012, LPL Financial's net capital was $124.8 million and its early warning requirement was $13.7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w:t>
      </w:r>
    </w:p>
    <w:p>
      <w:pPr>
        <w:spacing w:after="0" w:line="20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LPL's net capital would be less than 5.0% of aggregate customer debit balances.</w:t>
      </w:r>
    </w:p>
    <w:p>
      <w:pPr>
        <w:spacing w:after="0" w:line="196"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20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814" w:right="27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color w:val="auto"/>
        </w:rPr>
        <w:t>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March 29, 2012, we entered into a Credit Agreement (the "Credit Agreement") with LPL Holdings, Inc., the other Credit Parties signatory thereto, the Several Lenders signatory thereto, and Bank of America, N.A. as Administrative Agent, Collateral Agent, Letter of Credit Issuer, and Swingline Lender. The Credit Agreement refinanced and replaced our Third Amended and Restated Credit Agreement, dated as of May 24, 2010 (the "Original Credit Agreement"). Pursuant to the Credit Agreement, we established a Term Loan A tranche of $ 735.0 million maturing at March 29, 2017 (the "Term Loan A") and a Term Loan B tranche of $615.0 million maturing at March 29, 2019 (the "Term Loan B"). In connection with the Credit Agreement we capitalized certain debt issuance costs totaling $23.7 million. Additionally, we accelerated the recognition of $16.5 million debt issuance costs related to borrowings under the Original Credit Agreement in the six months ended June 30, 2012. As of March 31, 2012, we estimated that over the first twelve months of operations under the Credit Agreement, we anticipate interest savings of approximately $10.0 million based on a weighted average interest yield of 3.34% on the Credit Agreement compared to 4.27% on the Original Credit Agreement, excluding the portions then-hedged with our interest rate swap.</w:t>
      </w:r>
    </w:p>
    <w:p>
      <w:pPr>
        <w:spacing w:after="0" w:line="212"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The Credit Agreement also refinanced and replaced our existing revolving credit facility, increasing our capacity from $163.5 million to $250.0 million. The new revolving credit facility will mature on March 29, 2017. There were no outstanding borrowings on this revolving credit facility at June 30, 2012.</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addition, we maintain three uncommitted lines of credit. Two of the lines have unspecified limits, and are primarily dependent on our ability to provide sufficient collateral. The other line has a $150.0 million limit and allows for both collateralized and uncollateralized borrowings. The lines were utilized in 2012 and 2011; however, there were no balances outstanding at June 30, 2012 or December 31, 2011.</w:t>
      </w:r>
    </w:p>
    <w:p>
      <w:pPr>
        <w:spacing w:after="0" w:line="202"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We also were a party to an interest rate swap agreement, in a notional amount of $65.0 million, to mitigate interest rate risk by hedging the variability of a portion of our floating-rate senior secured term loan. This agreement expired on June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Borrowings under the Credit Agreement bear interest at a base rate equal to the one, two, three, six, nine or twelve-month LIBOR (the "Eurodollar Rate") plus our applicable margin, or an alternative base rate (“ABR”) plus our applicable margin. The ABR is equal to the greatest of (a) the prime rate in effect on such day, (b) the effective federal funds rate in effect on such day plus 0.50%, (c) the Eurodollar Rate plus 1.00% and (d) solely in the case of the Term Loan B, 2.00%.</w:t>
      </w:r>
    </w:p>
    <w:p>
      <w:pPr>
        <w:spacing w:after="0" w:line="204" w:lineRule="exact"/>
        <w:rPr>
          <w:sz w:val="20"/>
          <w:szCs w:val="20"/>
          <w:color w:val="auto"/>
        </w:rPr>
      </w:pPr>
    </w:p>
    <w:p>
      <w:pPr>
        <w:ind w:right="60" w:firstLine="486"/>
        <w:spacing w:after="0" w:line="265" w:lineRule="auto"/>
        <w:rPr>
          <w:sz w:val="20"/>
          <w:szCs w:val="20"/>
          <w:color w:val="auto"/>
        </w:rPr>
      </w:pPr>
      <w:r>
        <w:rPr>
          <w:rFonts w:ascii="Arial" w:cs="Arial" w:eastAsia="Arial" w:hAnsi="Arial"/>
          <w:sz w:val="17"/>
          <w:szCs w:val="17"/>
          <w:color w:val="auto"/>
        </w:rPr>
        <w:t>The applicable margin for borrowings (a) with respect to the Term Loan A is currently 1.50% for base rate borrowings and 2.50% for LIBOR borrowings, and (b) with respect to the Term Loan B is currently 2.00% for base rate borrowings and 3.00% for LIBOR borrowings, and</w:t>
      </w:r>
    </w:p>
    <w:p>
      <w:pPr>
        <w:ind w:right="60" w:firstLine="8"/>
        <w:spacing w:after="0" w:line="256"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revolving credit facility is currently 1.50% for base rate borrowings and 2.50% for LIBOR borrowings. The applicable margin on our term loans and revolving credit facility could change depending on our total leverage ratio. The LIBOR rate with respect to Term Loan B shall in no event be less than 1.00%.</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June 30, 2012 was 0.50% for our revolving credit facility, but is subject to change depending on our leverage ratio. Prior to the closing of the Credit Agreement on March 29, 2012, the commitment fee was 0.75% on our previous revolving credit facility. We must also pay customary letter of credit fees.</w:t>
      </w:r>
    </w:p>
    <w:p>
      <w:pPr>
        <w:spacing w:after="0" w:line="204"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Prior to the repayment on March 29, 2012, the Original Credit Agreement consisted of three term loan tranches: a $302.5 million term loan facility with a maturity of June 18, 2013 (the "2013 Term Loans"), a $476.9</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98"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million term loan facility with a maturity of June 25, 2015 (the "2015 Term Loans") and a $553.2 million term loan facility with a maturity of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 2017 (the "2017 Term Loans"). The applicable margin for borrowings (a) with respect to the 2013 Term Loans was 0.75% for base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borrowings and 1.75% for LIBOR borrowings, (b) with respect to the 2015 Term Loans was 1.75% for base rate borrowings and 2.75%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borrowings and (c) with respect to the 2017 Term Loans was 2.75% for base rate borrowings and 3.75% for LIBOR borrowings.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$163.5 million revolver tranche had an applicable margin of 2.50% for base rate borrowings and 3.50% for LIBOR borrowings. The LIBOR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2015 Term Loans and the 2017 Term Loans had a floor of 1.50%.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4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Credit Agreement (other than the revolving credit facility) requires us to prepay outstanding amounts under our senior secured term loan facility subject to certain exceptions, with:</w:t>
      </w:r>
    </w:p>
    <w:p>
      <w:pPr>
        <w:spacing w:after="0" w:line="196" w:lineRule="exact"/>
        <w:rPr>
          <w:sz w:val="20"/>
          <w:szCs w:val="20"/>
          <w:color w:val="auto"/>
        </w:rPr>
      </w:pPr>
    </w:p>
    <w:p>
      <w:pPr>
        <w:jc w:val="both"/>
        <w:ind w:left="520" w:right="20" w:hanging="120"/>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Credit Agreement) adjusted for, among other things, changes in our net working capital (as of June 30, 2012 our total leverage ratio was 2.28);</w:t>
      </w:r>
    </w:p>
    <w:p>
      <w:pPr>
        <w:spacing w:after="0" w:line="201"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w:t>
      </w:r>
    </w:p>
    <w:p>
      <w:pPr>
        <w:spacing w:after="0" w:line="225"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the Term Loan A and Term Loan B in any order at our direction. Any other mandatory prepayments described above will be applied to scheduled installments of principal of the Term Loan A and Term Loan B in direct order.</w:t>
      </w:r>
    </w:p>
    <w:p>
      <w:pPr>
        <w:spacing w:after="0" w:line="2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may voluntarily repay outstanding term loans under the Credit Agreement at any time without premium or penalty, other than customary “breakage” costs with respect to LIBOR loans, and with the exception of certain repricing transactions in respect of the Term Loan B consummated before March 29, 2013, which will be subject to a premium of 1.0% of the principal amount of Term Loan B subject to such repricing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Quarterly repayments of the principal for Term Loan A will total 5.0% per year for years one and two and 10.0% per year for years three, four, and five, with the remaining principal due upon maturity. Quarterly repayments of the principal for Term Loan B will total 1.0% per year with the remaining principal due upon maturity. Any outstanding principle under the Revolving Credit Facility will be due upon maturity.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225" w:lineRule="exact"/>
        <w:rPr>
          <w:sz w:val="20"/>
          <w:szCs w:val="20"/>
          <w:color w:val="auto"/>
        </w:rPr>
      </w:pPr>
    </w:p>
    <w:p>
      <w:pPr>
        <w:ind w:left="520" w:hanging="120"/>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8" w:right="239" w:bottom="1440" w:gutter="0" w:footer="0" w:header="0"/>
        </w:sectPr>
      </w:pPr>
    </w:p>
    <w:bookmarkStart w:id="49" w:name="page50"/>
    <w:bookmarkEnd w:id="49"/>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22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Credit Agreement, (iii) tax liabilities to the extent attributable to our business and our subsidiaries and (iv) dividends and other distributions in an aggregate amount not to exceed the sum of (a) the greater of (i) $ 250,000,000 and (ii) 6.75% of our consolidated total assets, (b) the available amount (as defined in the Credit Agreement) and (c) the available equity amount (as defined in the Credit Agreement). Notwithstanding the foregoing, we may make unlimited dividends and distributions provided that after giving pro forma effect thereto, our total leverage ratio does not exceed 2.0 to 1.0.</w:t>
      </w:r>
    </w:p>
    <w:p>
      <w:pPr>
        <w:spacing w:after="0" w:line="211"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share repurchase program approved in May 2012 was authorized by the Board of Directors pursuant to item (iv) above. Our special dividend was authorized by the Board of Directors pursuant to a one-time exception to the restriction on dividends. Any future declarations of quarterly cash dividends will be authorized pursuant to item (iv) above.</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Credit Agreement) to an adjusted EBITDA reflecting financial covenants in our Credit Agreement (“Credit Agreement Adjusted EBITDA”) to exceed certain prescribed levels set forth in the Credit Agreement. Under our interest coverage ratio test, we covenant not to allow the ratio of our Credit Agreement Adjusted EBITDA to our consolidated interest expense (as defined in our Credit Agreement) to be less than certain prescribed levels set forth in the Credit Agreement. Each of our financial ratios is measured at the end of each fiscal quarter, beginning in with the fiscal quarter ended June 30, 2012.</w:t>
      </w:r>
    </w:p>
    <w:p>
      <w:pPr>
        <w:spacing w:after="0" w:line="20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7"/>
          <w:szCs w:val="17"/>
          <w:color w:val="auto"/>
        </w:rPr>
        <w:t>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17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creditors could, among other things, accelerate the maturity of our indebtedness.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14" w:right="239" w:bottom="1440" w:gutter="0" w:footer="0" w:header="0"/>
        </w:sectPr>
      </w:pPr>
    </w:p>
    <w:bookmarkStart w:id="50" w:name="page51"/>
    <w:bookmarkEnd w:id="50"/>
    <w:p>
      <w:pPr>
        <w:ind w:right="200" w:firstLine="486"/>
        <w:spacing w:after="0" w:line="262" w:lineRule="auto"/>
        <w:rPr>
          <w:sz w:val="20"/>
          <w:szCs w:val="20"/>
          <w:color w:val="auto"/>
        </w:rPr>
      </w:pPr>
      <w:r>
        <w:rPr>
          <w:rFonts w:ascii="Arial" w:cs="Arial" w:eastAsia="Arial" w:hAnsi="Arial"/>
          <w:sz w:val="18"/>
          <w:szCs w:val="18"/>
          <w:color w:val="auto"/>
        </w:rPr>
        <w:t>As of June 30, 2012 and December 31, 2011 we were in compliance with all of our covenant requirements. Our covenant requirements and actual ratios as of June 30, 2012 and December 31, 2011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80" w:type="dxa"/>
            <w:vAlign w:val="bottom"/>
            <w:gridSpan w:val="4"/>
          </w:tcPr>
          <w:p>
            <w:pPr>
              <w:ind w:left="860"/>
              <w:spacing w:after="0"/>
              <w:rPr>
                <w:sz w:val="20"/>
                <w:szCs w:val="20"/>
                <w:color w:val="auto"/>
              </w:rPr>
            </w:pPr>
            <w:r>
              <w:rPr>
                <w:rFonts w:ascii="Arial" w:cs="Arial" w:eastAsia="Arial" w:hAnsi="Arial"/>
                <w:sz w:val="16"/>
                <w:szCs w:val="16"/>
                <w:b w:val="1"/>
                <w:bCs w:val="1"/>
                <w:color w:val="auto"/>
              </w:rPr>
              <w:t>June 30, 2012</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2011</w:t>
            </w:r>
          </w:p>
        </w:tc>
        <w:tc>
          <w:tcPr>
            <w:tcW w:w="0" w:type="dxa"/>
            <w:vAlign w:val="bottom"/>
          </w:tcPr>
          <w:p>
            <w:pPr>
              <w:spacing w:after="0"/>
              <w:rPr>
                <w:sz w:val="1"/>
                <w:szCs w:val="1"/>
                <w:color w:val="auto"/>
              </w:rPr>
            </w:pPr>
          </w:p>
        </w:tc>
      </w:tr>
      <w:tr>
        <w:trPr>
          <w:trHeight w:val="198"/>
        </w:trPr>
        <w:tc>
          <w:tcPr>
            <w:tcW w:w="5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20" w:type="dxa"/>
            <w:vAlign w:val="bottom"/>
            <w:gridSpan w:val="3"/>
            <w:vMerge w:val="continue"/>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1.77</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7.10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ended June 30, 2012 and December 31, 2011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156,557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170,382</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61,909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68,764</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103,262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112,303</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 and software(1)</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all other fixed assets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50"/>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392,484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424,190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20,792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22,052</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56,442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35,530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448,926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459,720</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Other(9)</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455,090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462,992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share-based compensation expense for stock options awarded to employees and non-executive directors based on the grant date fair value under the Black-Scholes valuation model.</w:t>
      </w:r>
    </w:p>
    <w:p>
      <w:pPr>
        <w:spacing w:after="0" w:line="88"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Included in the twelve months ended June 30, 2012 and December 31, 2011, is a cash settlement of $10.5 million for certain legal settlements that were resolved with an indemnifying party in the fourth quarter of 2011. Of this settlement, $9.8 million has been excluded from the presentation of Adjusted EBITDA, a non-GAAP measure.</w:t>
      </w:r>
    </w:p>
    <w:p>
      <w:pPr>
        <w:spacing w:after="0" w:line="96"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 As of June 30, 2012, approximately 78% and 97%, respectively, of costs related to these two initiatives have been recognized. The remaining costs largely consist of transition payments to be made in connection with these two conversions for the retention of advisors and institutions, and conversion and transfer costs that are expected to be recognized into earnings by December 2014.</w:t>
      </w:r>
    </w:p>
    <w:p>
      <w:pPr>
        <w:spacing w:after="0" w:line="97" w:lineRule="exact"/>
        <w:rPr>
          <w:rFonts w:ascii="Arial" w:cs="Arial" w:eastAsia="Arial" w:hAnsi="Arial"/>
          <w:sz w:val="18"/>
          <w:szCs w:val="18"/>
          <w:color w:val="auto"/>
        </w:rPr>
      </w:pPr>
    </w:p>
    <w:p>
      <w:pPr>
        <w:ind w:left="660" w:right="240" w:hanging="328"/>
        <w:spacing w:after="0" w:line="25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the Company's Third Amended and Restated Credit Agreement, including the write-off of $16.5 million of unamortized debt issuance costs that have no future economic benefit, as well as various other charges incurred in connection with the repayment of the prior senior secured credit facilities and the establishment of the new Credit Agreement.</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a secondary offering in the second</w:t>
      </w:r>
    </w:p>
    <w:p>
      <w:pPr>
        <w:sectPr>
          <w:pgSz w:w="11900" w:h="16838" w:orient="portrait"/>
          <w:cols w:equalWidth="0" w:num="1">
            <w:col w:w="11420"/>
          </w:cols>
          <w:pgMar w:left="240" w:top="598"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98" w:right="239" w:bottom="1440" w:gutter="0" w:footer="0" w:header="0"/>
          <w:type w:val="continuous"/>
        </w:sectPr>
      </w:pPr>
    </w:p>
    <w:bookmarkStart w:id="51" w:name="page52"/>
    <w:bookmarkEnd w:id="51"/>
    <w:p>
      <w:pPr>
        <w:ind w:left="660"/>
        <w:spacing w:after="0"/>
        <w:rPr>
          <w:sz w:val="20"/>
          <w:szCs w:val="20"/>
          <w:color w:val="auto"/>
        </w:rPr>
      </w:pPr>
      <w:r>
        <w:rPr>
          <w:rFonts w:ascii="Arial" w:cs="Arial" w:eastAsia="Arial" w:hAnsi="Arial"/>
          <w:sz w:val="18"/>
          <w:szCs w:val="18"/>
          <w:color w:val="auto"/>
        </w:rPr>
        <w:t>quarter of 2012, and the closing of a secondary offering in the second quarter of 2011.</w:t>
      </w:r>
    </w:p>
    <w:p>
      <w:pPr>
        <w:spacing w:after="0" w:line="13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certain excise and other taxes.</w:t>
      </w:r>
    </w:p>
    <w:p>
      <w:pPr>
        <w:spacing w:after="0" w:line="117" w:lineRule="exact"/>
        <w:rPr>
          <w:rFonts w:ascii="Arial" w:cs="Arial" w:eastAsia="Arial" w:hAnsi="Arial"/>
          <w:sz w:val="18"/>
          <w:szCs w:val="18"/>
          <w:color w:val="auto"/>
        </w:rPr>
      </w:pPr>
    </w:p>
    <w:p>
      <w:pPr>
        <w:ind w:left="660" w:right="140" w:hanging="328"/>
        <w:spacing w:after="0" w:line="271"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Credit Agreement. Pro-forma disclosure has been made for the trailing twelve months ended December 31, 2011, to exclude the recognition of share-based compensation expense from stock options and warrants granted to advisors and financial institutions, as if the terms of the Credit Agreement were in effect as of January 1, 2011.</w:t>
      </w:r>
    </w:p>
    <w:p>
      <w:pPr>
        <w:spacing w:after="0" w:line="84" w:lineRule="exact"/>
        <w:rPr>
          <w:rFonts w:ascii="Arial" w:cs="Arial" w:eastAsia="Arial" w:hAnsi="Arial"/>
          <w:sz w:val="17"/>
          <w:szCs w:val="17"/>
          <w:color w:val="auto"/>
        </w:rPr>
      </w:pPr>
    </w:p>
    <w:p>
      <w:pPr>
        <w:ind w:left="660" w:right="220" w:hanging="328"/>
        <w:spacing w:after="0" w:line="25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Credit Agreement to arrive at Credit Agreement Adjusted EBITDA including employee severance costs, employee signing costs, employee retention or completion bonuses, integration and facility opening costs, and transition costs related to closure or consolidation of facilities. It does not include the aforementioned expenses incurred in connection with the onboarding of advisors.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Prior to its expiration on June 30, 2012, we used an interest rate swap agreement to hedge the variability on our floating interest rate for $65.0 million of our Term Loan A under our Credit Agreement. We were required to pay the counterparty to the agreement fixed interest payments on a notional balance and in turn received variable interest payments on that notional balance. Payments were settled quarterly on a net basis. While our term loan is unhedged as of June 30, 2012, the risk of variability on our floating interest rate is partially mitigated by the client margin loans, which carry floating interest rates, as well as fees received from the cash sweep programs. At June 30, 2012, our receivables from our advisors’ clients for margin loan activity were approximately $245.4 million, and the balance of deposits in the cash sweep programs was $23.1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10 and 15 of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June 30, 2012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391,508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56,092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52,026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253,748</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1,339,275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131,738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581,925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582,712</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101,454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38,611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191,031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49,173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57,917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59,156</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2,028,537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118,955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281,544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732,422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895,616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140" w:hanging="328"/>
        <w:spacing w:after="0" w:line="271"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Included in the payments due by period is a fifteen year lease commitment that was executed in December 2011 for the Company's future San Diego office building with a lease commencement date of May 1, 2014. Future minimum payments for this lease commitment are $16.9 million, $30.8 million and $228.9 million for the periods 1-3 Years, 4-5 Years and &gt; 5 Years, respectively. Minimum payments have not been reduced by minimum sublease rental income of $5.4 million due in the future under noncancelable subleases. Note 10 of our unaudited condensed consolidated financial statements provides further detail on operating lease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25" w:right="25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obligations and obligations under noncancelable service contracts.</w:t>
      </w:r>
    </w:p>
    <w:p>
      <w:pPr>
        <w:spacing w:after="0" w:line="131" w:lineRule="exact"/>
        <w:rPr>
          <w:sz w:val="20"/>
          <w:szCs w:val="20"/>
          <w:color w:val="auto"/>
        </w:rPr>
      </w:pPr>
    </w:p>
    <w:p>
      <w:pPr>
        <w:ind w:left="660" w:right="2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9 of our unaudited condensed consolidated financial statements for further detail.</w:t>
      </w:r>
    </w:p>
    <w:p>
      <w:pPr>
        <w:spacing w:after="0" w:line="88" w:lineRule="exact"/>
        <w:rPr>
          <w:rFonts w:ascii="Arial" w:cs="Arial" w:eastAsia="Arial" w:hAnsi="Arial"/>
          <w:sz w:val="18"/>
          <w:szCs w:val="18"/>
          <w:color w:val="auto"/>
        </w:rPr>
      </w:pPr>
    </w:p>
    <w:p>
      <w:pPr>
        <w:ind w:left="660" w:right="96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9 of our unaudited condensed consolidated financial statements for further detail.</w:t>
      </w:r>
    </w:p>
    <w:p>
      <w:pPr>
        <w:spacing w:after="0" w:line="88"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June 30, 2012 remain unchanged. See Note 9 of our unaudited condensed consolidated financial statements for further detail.</w:t>
      </w:r>
    </w:p>
    <w:p>
      <w:pPr>
        <w:spacing w:after="0" w:line="14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acquisitions of NRP and Concord during the year ended December 31, 2011 involve the potential payment of contingent consideration dependent upon the achievement of certain revenue and gross-margin milestones. The table above does not reflect any such obligation, as the amounts are uncertain. See Note 3 of our unaudited condensed consolidated financial statements for further discussion of the maximum amount of future contingent consideration we could be required to pay in connection with these acquisitions.</w:t>
      </w:r>
    </w:p>
    <w:p>
      <w:pPr>
        <w:spacing w:after="0" w:line="164"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As of June 30, 2012, we have a liability for unrecognized tax benefits of $21.0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At June 30, 2012,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2011 Annual Report on Form 10-K, those accounting policies that we consider to be significant in determining our results of operations and financial condition. The accounting principles used in preparing our unaudited condensed consolidated financial statements conform in all material respects to GAAP. There have been no material changes to those policies that we consider to be significant since the filing of our 2011 Annual Report on Form 10-K except for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color w:val="auto"/>
        </w:rPr>
        <w:t>Substantially all of our revenues are based on contractual arrangements. Revenues are recognized in the periods in which the related services are performed provided that persuasive evidence of an arrangement exists, the fee is fixed or determinable and collectability is reasonably assured. Certain portions of our revenues require consideration of the nature of the client relationship in determining whether to recognize the gross amount billed or net amount retained after payments are made to providers for certain services related to the product or service offering. The main factors we use to determine whether to record revenue on a gross or net basis is based on whether:</w:t>
      </w:r>
    </w:p>
    <w:p>
      <w:pPr>
        <w:spacing w:after="0" w:line="2"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a direct contract with the third party provider;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the fiduciary in the arrangement;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customer and fees due to the third party service provider.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25" w:right="239" w:bottom="1440" w:gutter="0" w:footer="0" w:header="0"/>
        </w:sectPr>
      </w:pPr>
    </w:p>
    <w:bookmarkStart w:id="53" w:name="page54"/>
    <w:bookmarkEnd w:id="53"/>
    <w:p>
      <w:pPr>
        <w:ind w:right="80" w:firstLine="648"/>
        <w:spacing w:after="0" w:line="252" w:lineRule="auto"/>
        <w:rPr>
          <w:sz w:val="20"/>
          <w:szCs w:val="20"/>
          <w:color w:val="auto"/>
        </w:rPr>
      </w:pPr>
      <w:r>
        <w:rPr>
          <w:rFonts w:ascii="Arial" w:cs="Arial" w:eastAsia="Arial" w:hAnsi="Arial"/>
          <w:sz w:val="18"/>
          <w:szCs w:val="18"/>
          <w:color w:val="auto"/>
        </w:rPr>
        <w:t>We record commissions earned from customers for purchases of securities including mutual funds, annuity, insurance, equity, fixed income, direct investment, option and commodity transactions on a trade-date basis. Commissions also include mutual fund and variable annuity trails, which are recognized as a percentage of assets under management over the period for which services are performed. A substantial portion of the commissions revenue is ultimately paid to the advisors. Due to the significant volume of mutual fund and variable annuity purchases and sales transacted by financial advisors directly with product manufacturers, management must estimate a portion of its upfront commission and trail revenues for each accounting period for which the proceeds have not yet been received. These estimates are based on a number of factors including market levels, the volume of transactions in prior periods and cash receipts in the current period. We record commissions payable to advisors based upon standard payout ratios for each product for which we have accrued commission revenue.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record fees charged to customers as advisory fee revenue in advisory accounts where LPL Financial or Independent Advisers Group Corporation is the registered investment advisor. A substantial portion of these advisory fees are paid to the related advisor; such payments are recorded as production expense. Certain advisors conduct their advisory business through separate entities by establishing their own Registered Investment Advisor (“RIA”) pursuant to the Investment Advisers Act of 1940, rather than using our corporate registered RIA. These 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administrative fees based on the value of assets within these advisory accounts, and classify such revenues as asset-based fees and transaction and other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Certain employees, advisors, officers and directors participate in various stock option plans. In addition, certain financial institutions participate in a warrant plan. Stock options and warrants generally vest in equal increments over a three to five-year period and expire on the 10th anniversary following the date of grant.</w:t>
      </w:r>
    </w:p>
    <w:p>
      <w:pPr>
        <w:spacing w:after="0" w:line="20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recognize share-based compensation expense related to employee stock option awards based on the grant-date fair value over the requisite service period of the individual grants, which generally equals the vesting period. We account for stock options and warrants awarded to our advisors and financial institutions as commissions and advisory expense based on the fair value of the award at each interim reporting period. If the value of our common stock increases over a given period, this accounting treatment results in additional commissions and advisory expense.</w:t>
      </w:r>
    </w:p>
    <w:p>
      <w:pPr>
        <w:spacing w:after="0" w:line="20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As there are no observable market prices for identical or similar instruments, we estimate fair value using a Black-Scholes valuation model. We must make assumptions regarding the number of share-based awards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The risk-free interest rates are based on the implied yield available on U.S. Treasury constant maturities in effect at the time of the grant with remaining terms equivalent to the respective expected terms of the options. Options granted during the three months ended March 31, 2012 and in periods prior were granted before the declaration of our special dividend and announcement of our intention, subject in each instance to board approval, to pay regular quarterly dividends. Therefore, those options had an expected dividend yield of zero. For any options granted after the March 30, 2012 announcement regarding regular quarterly dividends, the dividend yield is based on an expected dividend of $0.48 per share per year as a percentage of our stock price on the valuation date. We estimate the expected term for our employee option awards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we do not have sufficient relevant historical information to develop reasonable expectations about future exercise patterns. We estimate the expected term for stock options and warrants awarded to our advisors using the contractual term. Beginning in the first quarter of 2012, we base our assumptions about stock-price volatility not only on the stock-price volatility of comparable companies, but also on the historical trading data for the period of time there was a public market for our stock and the implied volatility to buy and sell our stock. We will continue to use peer group volatility information until our historical volatility is sufficient to measure expected volatility for future grants. In the future, as we gain historical data for volatility of our stock and the actual term over which employees hold our options, expected volatility and the expected term may change, which could substantially change the grant-date fair value of future awards of stock options and, ultimately, compensation recorded on future grants.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98" w:right="259" w:bottom="1440" w:gutter="0" w:footer="0" w:header="0"/>
        </w:sectPr>
      </w:pPr>
    </w:p>
    <w:bookmarkStart w:id="54" w:name="page55"/>
    <w:bookmarkEnd w:id="54"/>
    <w:p>
      <w:pPr>
        <w:ind w:right="100" w:firstLine="486"/>
        <w:spacing w:after="0" w:line="252" w:lineRule="auto"/>
        <w:rPr>
          <w:sz w:val="20"/>
          <w:szCs w:val="20"/>
          <w:color w:val="auto"/>
        </w:rPr>
      </w:pPr>
      <w:r>
        <w:rPr>
          <w:rFonts w:ascii="Arial" w:cs="Arial" w:eastAsia="Arial" w:hAnsi="Arial"/>
          <w:sz w:val="18"/>
          <w:szCs w:val="18"/>
          <w:color w:val="auto"/>
        </w:rPr>
        <w:t>We recognized $8.5 million and $7.1 million of share-based compensation related to the vesting of employee stock option awards during the six months ended June 30, 2012 and 2011, respectively. These amounts may not be representative of future share-based compensation expense since the estimated fair value of stock options is amortized over the requisite service period using the straight-line method and additional options may be granted in future years. The following table presents the weighted-average assumptions used in calculating the fair value of our employee stock options with the Black-Scholes valuation model that have been granted during the six months ended June 30, 2012 and 2011:</w:t>
      </w:r>
    </w:p>
    <w:p>
      <w:pPr>
        <w:spacing w:after="0" w:line="137"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19050</wp:posOffset>
            </wp:positionV>
            <wp:extent cx="1783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48.61%</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17.54</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bl>
    <w:p>
      <w:pPr>
        <w:spacing w:after="0" w:line="21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recognized $ 2.8 million and $1.9 million of share-based compensation during the six months ended June 30, 2012 and 2011, respectively, related to the vesting of stock options and warrants awarded to our advisors and financial institutions. These amounts may not be representative of future share-based compensation expense since additional options may be granted in future years, our stock price is subject to market fluctuations and the estimated fair value of stock options is amortized over the requisite service period using the straight-line method. The fair value of each option or warrant grant awarded to advisors and financial institutions is estimated on the date of grant and revalued at each interim reporting period using the Black-Scholes option pricing model with the following weighted-average assumptions used as of June 30, 2012 and 2011:</w:t>
      </w:r>
    </w:p>
    <w:p>
      <w:pPr>
        <w:spacing w:after="0" w:line="136"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As of</w:t>
      </w:r>
    </w:p>
    <w:p>
      <w:pPr>
        <w:spacing w:after="0" w:line="25"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19050</wp:posOffset>
            </wp:positionV>
            <wp:extent cx="17837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2011</w:t>
            </w:r>
          </w:p>
        </w:tc>
      </w:tr>
      <w:tr>
        <w:trPr>
          <w:trHeight w:val="25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8.41</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47.65%</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620" w:type="dxa"/>
            <w:vAlign w:val="bottom"/>
          </w:tcPr>
          <w:p>
            <w:pPr>
              <w:ind w:left="40"/>
              <w:spacing w:after="0"/>
              <w:rPr>
                <w:sz w:val="20"/>
                <w:szCs w:val="20"/>
                <w:color w:val="auto"/>
              </w:rPr>
            </w:pPr>
            <w:r>
              <w:rPr>
                <w:rFonts w:ascii="Arial" w:cs="Arial" w:eastAsia="Arial" w:hAnsi="Arial"/>
                <w:sz w:val="18"/>
                <w:szCs w:val="18"/>
                <w:color w:val="auto"/>
              </w:rPr>
              <w:t>Fair value of options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21.56</w:t>
            </w: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215"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We have assumed an annualized forfeiture rate for our stock options and warrants based on a combined review of industry and employee turnover data, as well as an analytical review performed of historical pre-vesting forfeitures occurring over the previous year. We record additional expense if the actual forfeiture rate is lower than estimated and record a recovery of prior expense if the actual forfeiture is higher than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14" w:right="239" w:bottom="1440" w:gutter="0" w:footer="0" w:header="0"/>
        </w:sectPr>
      </w:pPr>
    </w:p>
    <w:bookmarkStart w:id="55" w:name="page56"/>
    <w:bookmarkEnd w:id="55"/>
    <w:p>
      <w:pPr>
        <w:ind w:right="100"/>
        <w:spacing w:after="0" w:line="251" w:lineRule="auto"/>
        <w:rPr>
          <w:sz w:val="20"/>
          <w:szCs w:val="20"/>
          <w:color w:val="auto"/>
        </w:rPr>
      </w:pPr>
      <w:r>
        <w:rPr>
          <w:rFonts w:ascii="Arial" w:cs="Arial" w:eastAsia="Arial" w:hAnsi="Arial"/>
          <w:sz w:val="18"/>
          <w:szCs w:val="18"/>
          <w:color w:val="auto"/>
        </w:rPr>
        <w:t>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175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21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At June 30, 2012, the fair value of our trading securities owned were $6.9 million. Securities sold, but not yet purchased were $0.4 million at June 30, 2012. See Note 5 of our unaudited condensed consolidated financial statements for information regarding the fair value of trading securities owned and securities sold, but not yet purchased associated with our client facilitation activities. See Note 6 of our unaudited condensed consolidated financial statements for information regarding the fair value 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June 30, 2012, all of the outstanding debt under our Credit Agreement, $1.3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202"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our debt outstanding at variable interest rates at June 30,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725,813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613,462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1,339,275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0.25%, plus the applicable interest rate margin of 2.50%.</w:t>
      </w:r>
    </w:p>
    <w:p>
      <w:pPr>
        <w:spacing w:after="0" w:line="88"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variable interest rate for our Term Loan B is based on the greater of the one-month LIBOR of 0.25% or 1.00%, plus the applicable interest rate margin of 3.00%.</w:t>
      </w:r>
    </w:p>
    <w:p>
      <w:pPr>
        <w:spacing w:after="0" w:line="15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8" w:right="239" w:bottom="1440" w:gutter="0" w:footer="0" w:header="0"/>
        </w:sectPr>
      </w:pPr>
    </w:p>
    <w:bookmarkStart w:id="56" w:name="page57"/>
    <w:bookmarkEnd w:id="56"/>
    <w:p>
      <w:pPr>
        <w:ind w:right="72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June 2012 was 0.16%. The following table reflects the approximate annual impact to asset-based fees on our insured cash programs (assuming that client balances at June 30, 2012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Fees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- 2.00%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bl>
    <w:p>
      <w:pPr>
        <w:spacing w:after="0" w:line="107" w:lineRule="exact"/>
        <w:rPr>
          <w:sz w:val="20"/>
          <w:szCs w:val="20"/>
          <w:color w:val="auto"/>
        </w:rPr>
      </w:pPr>
    </w:p>
    <w:p>
      <w:pPr>
        <w:ind w:right="540" w:firstLine="486"/>
        <w:spacing w:after="0" w:line="256" w:lineRule="auto"/>
        <w:rPr>
          <w:sz w:val="20"/>
          <w:szCs w:val="20"/>
          <w:color w:val="auto"/>
        </w:rPr>
      </w:pPr>
      <w:r>
        <w:rPr>
          <w:rFonts w:ascii="Arial" w:cs="Arial" w:eastAsia="Arial" w:hAnsi="Arial"/>
          <w:sz w:val="18"/>
          <w:szCs w:val="18"/>
          <w:color w:val="auto"/>
        </w:rPr>
        <w:t>The actual impact to asset-based fees, including a change in the FFER of greater than 2.00%, may vary depending on the FRS committee's strategy in response to a change in interest rate levels, the significance of a change, and actual balances at the time of such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202" w:lineRule="exact"/>
        <w:rPr>
          <w:sz w:val="20"/>
          <w:szCs w:val="20"/>
          <w:color w:val="auto"/>
        </w:rPr>
      </w:pPr>
    </w:p>
    <w:p>
      <w:pPr>
        <w:jc w:val="both"/>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six months ended June 30, 2012 and 2011.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7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unaudited and audited condensed consolidated financial statements, (ii) our compliance with legal and regulatory requirements that may impact our unaudited condensed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to achieve the proper risk-reward balance and not encourage unnecessary or excessive risk-taking, (iii) to oversee all other aspects of our compensation and human resource policies and (iv) to oversee our management resources, succession planning and management development activities. As mandated by the Audit Committee, we also have established a Risk Oversight Committee comprised of a group of our senior-most executives to oversee the risk management activities of the Company.</w:t>
      </w:r>
    </w:p>
    <w:p>
      <w:pPr>
        <w:spacing w:after="0" w:line="2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second quarter ended June 30, 2012, that have materially affected, or are reasonably likely to materially affect, our internal control over financial reporting.</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76"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second quarter of 2012: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1, 2012 through April 30, 2012</w:t>
            </w: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23,522,765</w:t>
            </w:r>
          </w:p>
        </w:tc>
        <w:tc>
          <w:tcPr>
            <w:tcW w:w="0" w:type="dxa"/>
            <w:vAlign w:val="bottom"/>
          </w:tcPr>
          <w:p>
            <w:pPr>
              <w:spacing w:after="0"/>
              <w:rPr>
                <w:sz w:val="1"/>
                <w:szCs w:val="1"/>
                <w:color w:val="auto"/>
              </w:rPr>
            </w:pPr>
          </w:p>
        </w:tc>
      </w:tr>
      <w:tr>
        <w:trPr>
          <w:trHeight w:val="26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May 1, 2012 through May 31, 2012(2)</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354,986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22"/>
                <w:szCs w:val="22"/>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354,986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86,575,225</w:t>
            </w:r>
          </w:p>
        </w:tc>
        <w:tc>
          <w:tcPr>
            <w:tcW w:w="0" w:type="dxa"/>
            <w:vAlign w:val="bottom"/>
          </w:tcPr>
          <w:p>
            <w:pPr>
              <w:spacing w:after="0"/>
              <w:rPr>
                <w:sz w:val="1"/>
                <w:szCs w:val="1"/>
                <w:color w:val="auto"/>
              </w:rPr>
            </w:pP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June 1, 2012 through June 30, 2012</w:t>
            </w:r>
          </w:p>
        </w:tc>
        <w:tc>
          <w:tcPr>
            <w:tcW w:w="1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200,000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80,115,305</w:t>
            </w:r>
          </w:p>
        </w:tc>
        <w:tc>
          <w:tcPr>
            <w:tcW w:w="0" w:type="dxa"/>
            <w:vAlign w:val="bottom"/>
          </w:tcPr>
          <w:p>
            <w:pPr>
              <w:spacing w:after="0"/>
              <w:rPr>
                <w:sz w:val="1"/>
                <w:szCs w:val="1"/>
                <w:color w:val="auto"/>
              </w:rPr>
            </w:pP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April 1, 2012 through June 30, 2012</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554,986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554,986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80,115,305</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240" w:hanging="492"/>
        <w:spacing w:after="0" w:line="256"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repurchase of shares was executed under the share repurchase program approved by the Board of Directors on August 16, 2011, through which the Company may repurchase $70.0 million of its outstanding shares of common stock through August 31, 2012. See Note 11 of the unaudited condensed consolidated financial statements for additional information.</w:t>
      </w:r>
    </w:p>
    <w:p>
      <w:pPr>
        <w:spacing w:after="0" w:line="93" w:lineRule="exact"/>
        <w:rPr>
          <w:rFonts w:ascii="Arial" w:cs="Arial" w:eastAsia="Arial" w:hAnsi="Arial"/>
          <w:sz w:val="18"/>
          <w:szCs w:val="18"/>
          <w:color w:val="auto"/>
        </w:rPr>
      </w:pPr>
    </w:p>
    <w:p>
      <w:pPr>
        <w:ind w:left="500" w:right="400" w:hanging="492"/>
        <w:spacing w:after="0" w:line="256"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May 25, 2012, the Board of Directors approved a share repurchase program pursuant to which the Company may repurchase an additional $75.0 million of its outstanding shares of common stock. See Note 11 of the unaudited condensed consolidated financial statements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1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1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140" w:type="dxa"/>
            <w:vAlign w:val="bottom"/>
          </w:tcPr>
          <w:p>
            <w:pPr>
              <w:ind w:left="180"/>
              <w:spacing w:after="0"/>
              <w:rPr>
                <w:sz w:val="20"/>
                <w:szCs w:val="20"/>
                <w:color w:val="auto"/>
              </w:rPr>
            </w:pPr>
            <w:r>
              <w:rPr>
                <w:rFonts w:ascii="Arial" w:cs="Arial" w:eastAsia="Arial" w:hAnsi="Arial"/>
                <w:sz w:val="18"/>
                <w:szCs w:val="18"/>
                <w:color w:val="auto"/>
              </w:rPr>
              <w:t>Third Amended and Restated Bylaws (previously filed as Exhibit 3.2 to the Current Report on Form 8-K (File Number 001-</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44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140" w:type="dxa"/>
            <w:vAlign w:val="bottom"/>
          </w:tcPr>
          <w:p>
            <w:pPr>
              <w:ind w:left="180"/>
              <w:spacing w:after="0"/>
              <w:rPr>
                <w:sz w:val="20"/>
                <w:szCs w:val="20"/>
                <w:color w:val="auto"/>
              </w:rPr>
            </w:pPr>
            <w:r>
              <w:rPr>
                <w:rFonts w:ascii="Arial" w:cs="Arial" w:eastAsia="Arial" w:hAnsi="Arial"/>
                <w:sz w:val="18"/>
                <w:szCs w:val="18"/>
                <w:color w:val="auto"/>
              </w:rPr>
              <w:t>Amendment and Waiver to the Management Stockholders' Agreement by and between Robert J. Moore and LPL Investment</w:t>
            </w:r>
          </w:p>
        </w:tc>
      </w:tr>
      <w:tr>
        <w:trPr>
          <w:trHeight w:val="203"/>
        </w:trPr>
        <w:tc>
          <w:tcPr>
            <w:tcW w:w="920" w:type="dxa"/>
            <w:vAlign w:val="bottom"/>
          </w:tcPr>
          <w:p>
            <w:pPr>
              <w:spacing w:after="0"/>
              <w:rPr>
                <w:sz w:val="17"/>
                <w:szCs w:val="17"/>
                <w:color w:val="auto"/>
              </w:rPr>
            </w:pPr>
          </w:p>
        </w:tc>
        <w:tc>
          <w:tcPr>
            <w:tcW w:w="10140" w:type="dxa"/>
            <w:vAlign w:val="bottom"/>
          </w:tcPr>
          <w:p>
            <w:pPr>
              <w:ind w:left="180"/>
              <w:spacing w:after="0" w:line="202" w:lineRule="exact"/>
              <w:rPr>
                <w:sz w:val="20"/>
                <w:szCs w:val="20"/>
                <w:color w:val="auto"/>
              </w:rPr>
            </w:pPr>
            <w:r>
              <w:rPr>
                <w:rFonts w:ascii="Arial" w:cs="Arial" w:eastAsia="Arial" w:hAnsi="Arial"/>
                <w:sz w:val="18"/>
                <w:szCs w:val="18"/>
                <w:color w:val="auto"/>
                <w:w w:val="99"/>
              </w:rPr>
              <w:t>Holdings Inc. dated May 30, 2012 (previously filed as Exhibit 4.1 to the Current Report on Form 8-K (File Number 001-34963)</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on June 5, 2012 and incorporated here by reference)</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1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1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1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1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1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1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140" w:type="dxa"/>
            <w:vAlign w:val="bottom"/>
          </w:tcPr>
          <w:p>
            <w:pPr>
              <w:ind w:left="438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380"/>
          </w:cols>
          <w:pgMar w:left="240" w:top="576" w:right="27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76"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WAIVER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 STOCKHOLDERS' AGREEMENT</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This Amendment and Waiver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May 31, 2012 by and between LPL Investment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Robert J. Moore.</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WHEREAS, on November 23, 2010, the Company entered into a Management Stockholders' Agreement with Stephanie L. Brown, Mark S. Casady, William E. Dwyer III, Robert J. Moore and Esther M. Stearns (the “</w:t>
      </w:r>
      <w:r>
        <w:rPr>
          <w:rFonts w:ascii="Arial" w:cs="Arial" w:eastAsia="Arial" w:hAnsi="Arial"/>
          <w:sz w:val="22"/>
          <w:szCs w:val="22"/>
          <w:u w:val="single" w:color="auto"/>
          <w:color w:val="auto"/>
        </w:rPr>
        <w:t>Agreement</w:t>
      </w:r>
      <w:r>
        <w:rPr>
          <w:rFonts w:ascii="Arial" w:cs="Arial" w:eastAsia="Arial" w:hAnsi="Arial"/>
          <w:sz w:val="22"/>
          <w:szCs w:val="22"/>
          <w:color w:val="auto"/>
        </w:rPr>
        <w:t>”) setting forth, among other things, certain transfer restrictions;</w:t>
      </w:r>
    </w:p>
    <w:p>
      <w:pPr>
        <w:spacing w:after="0" w:line="186"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WHEREAS, in accordance with Section 4.02 of the Agreement, the Company and Robert J. Moore wish to amend the Agreement to remove Mr. Moore as a party thereto and waive the restrictions and obligations of the Agreement with respect to Mr. Moore;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20" w:lineRule="exact"/>
        <w:rPr>
          <w:sz w:val="20"/>
          <w:szCs w:val="20"/>
          <w:color w:val="auto"/>
        </w:rPr>
      </w:pPr>
    </w:p>
    <w:p>
      <w:pPr>
        <w:ind w:right="240" w:firstLine="656"/>
        <w:spacing w:after="0" w:line="260" w:lineRule="auto"/>
        <w:tabs>
          <w:tab w:leader="none" w:pos="99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Amendment and Waiver</w:t>
      </w:r>
      <w:r>
        <w:rPr>
          <w:rFonts w:ascii="Arial" w:cs="Arial" w:eastAsia="Arial" w:hAnsi="Arial"/>
          <w:sz w:val="22"/>
          <w:szCs w:val="22"/>
          <w:color w:val="auto"/>
        </w:rPr>
        <w:t>. The Agreement is hereby amended to remove Robert J. Moore as a party thereto. The Company hereby waives all restrictions and obligations contained in the Agreement as they pertain to Robert J. Moore, including the transfer restrictions set forth in Section 2.01 of the Agreement.</w:t>
      </w:r>
    </w:p>
    <w:p>
      <w:pPr>
        <w:spacing w:after="0" w:line="177" w:lineRule="exact"/>
        <w:rPr>
          <w:rFonts w:ascii="Arial" w:cs="Arial" w:eastAsia="Arial" w:hAnsi="Arial"/>
          <w:sz w:val="22"/>
          <w:szCs w:val="22"/>
          <w:color w:val="auto"/>
        </w:rPr>
      </w:pPr>
    </w:p>
    <w:p>
      <w:pPr>
        <w:ind w:left="1060" w:hanging="404"/>
        <w:spacing w:after="0"/>
        <w:tabs>
          <w:tab w:leader="none" w:pos="106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660" w:right="40" w:firstLine="648"/>
        <w:spacing w:after="0" w:line="307"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Amendment shall be declared by any court of competent jurisdiction to be illegal, void or unenforceable, all other provisions of this Agreement, to the extent permitted by law, shall not be affected and shall remain in full force and effect. Upon any such determination, the parties shall negotiate in good faith in an effort to agree upon a suitable and equitable substitute provision to effect the original intent of the parties.</w:t>
      </w:r>
    </w:p>
    <w:p>
      <w:pPr>
        <w:spacing w:after="0" w:line="138" w:lineRule="exact"/>
        <w:rPr>
          <w:sz w:val="20"/>
          <w:szCs w:val="20"/>
          <w:color w:val="auto"/>
        </w:rPr>
      </w:pPr>
    </w:p>
    <w:p>
      <w:pPr>
        <w:ind w:left="660" w:right="500" w:firstLine="648"/>
        <w:spacing w:after="0" w:line="307"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set forth herein, the Agreement, as modified by this Amendment,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38" w:lineRule="exact"/>
        <w:rPr>
          <w:sz w:val="20"/>
          <w:szCs w:val="20"/>
          <w:color w:val="auto"/>
        </w:rPr>
      </w:pPr>
    </w:p>
    <w:p>
      <w:pPr>
        <w:ind w:left="660" w:right="240" w:firstLine="648"/>
        <w:spacing w:after="0" w:line="276"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separate counterparts each of which shall be an original and all of which taken together shall constitute one and the same agreement.</w:t>
      </w:r>
    </w:p>
    <w:p>
      <w:pPr>
        <w:spacing w:after="0" w:line="16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u w:val="single" w:color="auto"/>
          <w:color w:val="auto"/>
        </w:rPr>
        <w:t>Governing Law; Consent to Jurisdiction</w:t>
      </w:r>
      <w:r>
        <w:rPr>
          <w:rFonts w:ascii="Arial" w:cs="Arial" w:eastAsia="Arial" w:hAnsi="Arial"/>
          <w:sz w:val="19"/>
          <w:szCs w:val="19"/>
          <w:color w:val="auto"/>
        </w:rPr>
        <w:t>.</w:t>
      </w:r>
    </w:p>
    <w:p>
      <w:pPr>
        <w:spacing w:after="0" w:line="233" w:lineRule="exact"/>
        <w:rPr>
          <w:sz w:val="20"/>
          <w:szCs w:val="20"/>
          <w:color w:val="auto"/>
        </w:rPr>
      </w:pPr>
    </w:p>
    <w:p>
      <w:pPr>
        <w:ind w:left="660" w:right="20" w:firstLine="645"/>
        <w:spacing w:after="0" w:line="260" w:lineRule="auto"/>
        <w:tabs>
          <w:tab w:leader="none" w:pos="1602"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This Amendment shall be governed by and construed in accordance with the laws of the State of Delaware. The parties hereto agree that any suit, action or proceeding (“</w:t>
      </w:r>
      <w:r>
        <w:rPr>
          <w:rFonts w:ascii="Arial" w:cs="Arial" w:eastAsia="Arial" w:hAnsi="Arial"/>
          <w:sz w:val="21"/>
          <w:szCs w:val="21"/>
          <w:u w:val="single" w:color="auto"/>
          <w:color w:val="auto"/>
        </w:rPr>
        <w:t>Litigation</w:t>
      </w:r>
      <w:r>
        <w:rPr>
          <w:rFonts w:ascii="Arial" w:cs="Arial" w:eastAsia="Arial" w:hAnsi="Arial"/>
          <w:sz w:val="21"/>
          <w:szCs w:val="21"/>
          <w:color w:val="auto"/>
        </w:rPr>
        <w:t>”) seeking to enforce any provision of, or based on any matter arising out of or in connection with, the Agreement or this Amendment or the transactions contemplated thereby or hereby shall be brought in any federal court located in the State of Delaware or any Delaware state court. Each of the parties hereto hereby irrevocably and unconditionally waives, and agrees not to assert, by way of motion, as a defense, counterclaim or otherwise, in any such Litigation, the defense of sovereign immunity, any claim that it is not personally subject to the jurisdiction of the aforesaid</w:t>
      </w:r>
    </w:p>
    <w:p>
      <w:pPr>
        <w:sectPr>
          <w:pgSz w:w="11900" w:h="16838" w:orient="portrait"/>
          <w:cols w:equalWidth="0" w:num="1">
            <w:col w:w="11420"/>
          </w:cols>
          <w:pgMar w:left="240" w:top="576" w:right="239" w:bottom="1440" w:gutter="0" w:footer="0" w:header="0"/>
        </w:sectPr>
      </w:pPr>
    </w:p>
    <w:bookmarkStart w:id="62" w:name="page63"/>
    <w:bookmarkEnd w:id="62"/>
    <w:p>
      <w:pPr>
        <w:ind w:left="660"/>
        <w:spacing w:after="0" w:line="258" w:lineRule="auto"/>
        <w:rPr>
          <w:sz w:val="20"/>
          <w:szCs w:val="20"/>
          <w:color w:val="auto"/>
        </w:rPr>
      </w:pPr>
      <w:r>
        <w:rPr>
          <w:rFonts w:ascii="Arial" w:cs="Arial" w:eastAsia="Arial" w:hAnsi="Arial"/>
          <w:sz w:val="21"/>
          <w:szCs w:val="21"/>
          <w:color w:val="auto"/>
        </w:rPr>
        <w:t>courts for any reason, other than the failure to serve process in accordance with this Section 2.04,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Amendment, or the subject matter hereof, may not be enforced in or by such particular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the Agreement or this Amendment or the transactions contemplated thereby or hereby.</w:t>
      </w:r>
    </w:p>
    <w:p>
      <w:pPr>
        <w:spacing w:after="0" w:line="183" w:lineRule="exact"/>
        <w:rPr>
          <w:sz w:val="20"/>
          <w:szCs w:val="20"/>
          <w:color w:val="auto"/>
        </w:rPr>
      </w:pPr>
    </w:p>
    <w:p>
      <w:pPr>
        <w:ind w:left="660" w:right="140" w:firstLine="645"/>
        <w:spacing w:after="0" w:line="312" w:lineRule="auto"/>
        <w:tabs>
          <w:tab w:leader="none" w:pos="16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of the parties hereto irrevocably consents to the service of process out of any of the aforementioned courts in any such Litigation by the mailing of copies thereof by registered mail, postage prepaid, to such party at its address set forth in the Agreement, such service of process to be effective upon acknowledgment of receipt of such registered mail.</w:t>
      </w:r>
    </w:p>
    <w:p>
      <w:pPr>
        <w:spacing w:after="0" w:line="133" w:lineRule="exact"/>
        <w:rPr>
          <w:rFonts w:ascii="Arial" w:cs="Arial" w:eastAsia="Arial" w:hAnsi="Arial"/>
          <w:sz w:val="19"/>
          <w:szCs w:val="19"/>
          <w:color w:val="auto"/>
        </w:rPr>
      </w:pPr>
    </w:p>
    <w:p>
      <w:pPr>
        <w:ind w:left="660" w:right="100" w:firstLine="645"/>
        <w:spacing w:after="0" w:line="302" w:lineRule="auto"/>
        <w:tabs>
          <w:tab w:leader="none" w:pos="1602"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parties hereto each expressly acknowledge that the foregoing waivers are intended to be irrevocable under the laws of the State of Delaware and of the United States of America; provided that consent by the parties hereto to jurisdiction and service contained in this Section 2.04 solely for the purpose referred to in this Section 2.04 and shall not be deemed to be a general submission to said courts or in the State of Delaware other than for such purpose.</w:t>
      </w:r>
    </w:p>
    <w:p>
      <w:pPr>
        <w:spacing w:after="0" w:line="143" w:lineRule="exact"/>
        <w:rPr>
          <w:sz w:val="20"/>
          <w:szCs w:val="20"/>
          <w:color w:val="auto"/>
        </w:rPr>
      </w:pPr>
    </w:p>
    <w:p>
      <w:pPr>
        <w:ind w:left="660" w:right="60" w:firstLine="648"/>
        <w:spacing w:after="0" w:line="276"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Interpretation</w:t>
      </w:r>
      <w:r>
        <w:rPr>
          <w:rFonts w:ascii="Arial" w:cs="Arial" w:eastAsia="Arial" w:hAnsi="Arial"/>
          <w:sz w:val="22"/>
          <w:szCs w:val="22"/>
          <w:color w:val="auto"/>
        </w:rPr>
        <w:t>. The headings contained in this Amendment are for reference purposes only and shall not affect in any way the meaning or interpretation of this Amendment or the Agreement.</w:t>
      </w:r>
    </w:p>
    <w:p>
      <w:pPr>
        <w:spacing w:after="0" w:line="161" w:lineRule="exact"/>
        <w:rPr>
          <w:sz w:val="20"/>
          <w:szCs w:val="20"/>
          <w:color w:val="auto"/>
        </w:rPr>
      </w:pPr>
    </w:p>
    <w:p>
      <w:pPr>
        <w:ind w:left="660" w:right="120" w:firstLine="648"/>
        <w:spacing w:after="0" w:line="266"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This Amendment modifies only the obligations of the parties hereto and shall not be considered a modification of the rights of any other Executive (as defined in the Agreement) party to the Agreement. In the event of any conflict or inconsistency between the terms of this Amendment and the terms of the Agreement, the terms of this Amendment will control. Except to the extent expressly modified herein or in conflict with the terms of this Amendment, the terms of the Agreement shall remain in full force and effect.</w:t>
      </w:r>
    </w:p>
    <w:p>
      <w:pPr>
        <w:spacing w:after="0" w:line="215"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IN WITNESS WHEREOF, the undersigned have executed this Amendment and Waiver Agreement as of the date first above written.</w:t>
      </w:r>
    </w:p>
    <w:p>
      <w:pPr>
        <w:spacing w:after="0" w:line="200" w:lineRule="exact"/>
        <w:rPr>
          <w:sz w:val="20"/>
          <w:szCs w:val="20"/>
          <w:color w:val="auto"/>
        </w:rPr>
      </w:pPr>
    </w:p>
    <w:p>
      <w:pPr>
        <w:spacing w:after="0" w:line="374"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2200" w:type="dxa"/>
            <w:vAlign w:val="bottom"/>
          </w:tcPr>
          <w:p>
            <w:pPr>
              <w:ind w:left="20"/>
              <w:spacing w:after="0"/>
              <w:rPr>
                <w:sz w:val="20"/>
                <w:szCs w:val="20"/>
                <w:color w:val="auto"/>
              </w:rPr>
            </w:pPr>
            <w:r>
              <w:rPr>
                <w:rFonts w:ascii="Arial" w:cs="Arial" w:eastAsia="Arial" w:hAnsi="Arial"/>
                <w:sz w:val="18"/>
                <w:szCs w:val="18"/>
                <w:color w:val="auto"/>
              </w:rPr>
              <w:t>ROBERT J. MOORE</w:t>
            </w:r>
          </w:p>
        </w:tc>
        <w:tc>
          <w:tcPr>
            <w:tcW w:w="6060" w:type="dxa"/>
            <w:vAlign w:val="bottom"/>
            <w:gridSpan w:val="2"/>
          </w:tcPr>
          <w:p>
            <w:pPr>
              <w:ind w:left="2720"/>
              <w:spacing w:after="0"/>
              <w:rPr>
                <w:sz w:val="20"/>
                <w:szCs w:val="20"/>
                <w:color w:val="auto"/>
              </w:rPr>
            </w:pPr>
            <w:r>
              <w:rPr>
                <w:rFonts w:ascii="Arial" w:cs="Arial" w:eastAsia="Arial" w:hAnsi="Arial"/>
                <w:sz w:val="18"/>
                <w:szCs w:val="18"/>
                <w:color w:val="auto"/>
              </w:rPr>
              <w:t>LPL INVESTMENT HOLDINGS INC.</w:t>
            </w:r>
          </w:p>
        </w:tc>
      </w:tr>
      <w:tr>
        <w:trPr>
          <w:trHeight w:val="601"/>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Moore</w:t>
            </w:r>
          </w:p>
        </w:tc>
        <w:tc>
          <w:tcPr>
            <w:tcW w:w="3400" w:type="dxa"/>
            <w:vAlign w:val="bottom"/>
          </w:tcPr>
          <w:p>
            <w:pPr>
              <w:ind w:left="2720"/>
              <w:spacing w:after="0"/>
              <w:rPr>
                <w:sz w:val="20"/>
                <w:szCs w:val="20"/>
                <w:color w:val="auto"/>
              </w:rPr>
            </w:pPr>
            <w:r>
              <w:rPr>
                <w:rFonts w:ascii="Arial" w:cs="Arial" w:eastAsia="Arial" w:hAnsi="Arial"/>
                <w:sz w:val="18"/>
                <w:szCs w:val="18"/>
                <w:color w:val="auto"/>
              </w:rPr>
              <w:t>By:</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Stephanie L. Brown</w:t>
            </w:r>
          </w:p>
        </w:tc>
      </w:tr>
      <w:tr>
        <w:trPr>
          <w:trHeight w:val="500"/>
        </w:trPr>
        <w:tc>
          <w:tcPr>
            <w:tcW w:w="2200" w:type="dxa"/>
            <w:vAlign w:val="bottom"/>
          </w:tcPr>
          <w:p>
            <w:pPr>
              <w:spacing w:after="0"/>
              <w:rPr>
                <w:sz w:val="24"/>
                <w:szCs w:val="24"/>
                <w:color w:val="auto"/>
              </w:rPr>
            </w:pPr>
          </w:p>
        </w:tc>
        <w:tc>
          <w:tcPr>
            <w:tcW w:w="3400" w:type="dxa"/>
            <w:vAlign w:val="bottom"/>
          </w:tcPr>
          <w:p>
            <w:pPr>
              <w:ind w:left="2720"/>
              <w:spacing w:after="0"/>
              <w:rPr>
                <w:sz w:val="20"/>
                <w:szCs w:val="20"/>
                <w:color w:val="auto"/>
              </w:rPr>
            </w:pPr>
            <w:r>
              <w:rPr>
                <w:rFonts w:ascii="Arial" w:cs="Arial" w:eastAsia="Arial" w:hAnsi="Arial"/>
                <w:sz w:val="18"/>
                <w:szCs w:val="18"/>
                <w:color w:val="auto"/>
              </w:rPr>
              <w:t>Name:</w:t>
            </w:r>
          </w:p>
        </w:tc>
        <w:tc>
          <w:tcPr>
            <w:tcW w:w="2660" w:type="dxa"/>
            <w:vAlign w:val="bottom"/>
          </w:tcPr>
          <w:p>
            <w:pPr>
              <w:ind w:left="40"/>
              <w:spacing w:after="0"/>
              <w:rPr>
                <w:sz w:val="20"/>
                <w:szCs w:val="20"/>
                <w:color w:val="auto"/>
              </w:rPr>
            </w:pPr>
            <w:r>
              <w:rPr>
                <w:rFonts w:ascii="Arial" w:cs="Arial" w:eastAsia="Arial" w:hAnsi="Arial"/>
                <w:sz w:val="18"/>
                <w:szCs w:val="18"/>
                <w:color w:val="auto"/>
              </w:rPr>
              <w:t>Stephanie L. Brown</w:t>
            </w:r>
          </w:p>
        </w:tc>
      </w:tr>
      <w:tr>
        <w:trPr>
          <w:trHeight w:val="270"/>
        </w:trPr>
        <w:tc>
          <w:tcPr>
            <w:tcW w:w="2200" w:type="dxa"/>
            <w:vAlign w:val="bottom"/>
          </w:tcPr>
          <w:p>
            <w:pPr>
              <w:spacing w:after="0"/>
              <w:rPr>
                <w:sz w:val="23"/>
                <w:szCs w:val="23"/>
                <w:color w:val="auto"/>
              </w:rPr>
            </w:pPr>
          </w:p>
        </w:tc>
        <w:tc>
          <w:tcPr>
            <w:tcW w:w="3400" w:type="dxa"/>
            <w:vAlign w:val="bottom"/>
          </w:tcPr>
          <w:p>
            <w:pPr>
              <w:ind w:left="2720"/>
              <w:spacing w:after="0"/>
              <w:rPr>
                <w:sz w:val="20"/>
                <w:szCs w:val="20"/>
                <w:color w:val="auto"/>
              </w:rPr>
            </w:pPr>
            <w:r>
              <w:rPr>
                <w:rFonts w:ascii="Arial" w:cs="Arial" w:eastAsia="Arial" w:hAnsi="Arial"/>
                <w:sz w:val="18"/>
                <w:szCs w:val="18"/>
                <w:color w:val="auto"/>
              </w:rPr>
              <w:t>Title:</w:t>
            </w:r>
          </w:p>
        </w:tc>
        <w:tc>
          <w:tcPr>
            <w:tcW w:w="2660" w:type="dxa"/>
            <w:vAlign w:val="bottom"/>
          </w:tcPr>
          <w:p>
            <w:pPr>
              <w:ind w:left="4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1420"/>
          </w:cols>
          <w:pgMar w:left="240" w:top="59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2012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2012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5"/>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6"/>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8"/>
    </w:lvl>
  </w:abstractNum>
  <w:abstractNum w:abstractNumId="12">
    <w:nsid w:val="440BADFC"/>
    <w:multiLevelType w:val="hybridMultilevel"/>
    <w:lvl w:ilvl="0">
      <w:lvlJc w:val="left"/>
      <w:lvlText w:val="%1."/>
      <w:numFmt w:val="decimal"/>
      <w:start w:val="9"/>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0"/>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1"/>
    </w:lvl>
  </w:abstractNum>
  <w:abstractNum w:abstractNumId="17">
    <w:nsid w:val="5C482A97"/>
    <w:multiLevelType w:val="hybridMultilevel"/>
    <w:lvl w:ilvl="0">
      <w:lvlJc w:val="left"/>
      <w:lvlText w:val="%1."/>
      <w:numFmt w:val="decimal"/>
      <w:start w:val="12"/>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3"/>
    </w:lvl>
  </w:abstractNum>
  <w:abstractNum w:abstractNumId="20">
    <w:nsid w:val="51EAD36B"/>
    <w:multiLevelType w:val="hybridMultilevel"/>
    <w:lvl w:ilvl="0">
      <w:lvlJc w:val="left"/>
      <w:lvlText w:val="%1."/>
      <w:numFmt w:val="decimal"/>
      <w:start w:val="14"/>
    </w:lvl>
  </w:abstractNum>
  <w:abstractNum w:abstractNumId="21">
    <w:nsid w:val="2D517796"/>
    <w:multiLevelType w:val="hybridMultilevel"/>
    <w:lvl w:ilvl="0">
      <w:lvlJc w:val="left"/>
      <w:lvlText w:val="%1."/>
      <w:numFmt w:val="decimal"/>
      <w:start w:val="15"/>
    </w:lvl>
  </w:abstractNum>
  <w:abstractNum w:abstractNumId="22">
    <w:nsid w:val="580BD78F"/>
    <w:multiLevelType w:val="hybridMultilevel"/>
    <w:lvl w:ilvl="0">
      <w:lvlJc w:val="left"/>
      <w:lvlText w:val="%1."/>
      <w:numFmt w:val="decimal"/>
      <w:start w:val="16"/>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6"/>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lowerLetter"/>
      <w:start w:val="3"/>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4"/>
    </w:lvl>
  </w:abstractNum>
  <w:abstractNum w:abstractNumId="39">
    <w:nsid w:val="684A481A"/>
    <w:multiLevelType w:val="hybridMultilevel"/>
    <w:lvl w:ilvl="0">
      <w:lvlJc w:val="left"/>
      <w:lvlText w:val="(%1)"/>
      <w:numFmt w:val="decimal"/>
      <w:start w:val="5"/>
    </w:lvl>
  </w:abstractNum>
  <w:abstractNum w:abstractNumId="40">
    <w:nsid w:val="579478FE"/>
    <w:multiLevelType w:val="hybridMultilevel"/>
    <w:lvl w:ilvl="0">
      <w:lvlJc w:val="left"/>
      <w:lvlText w:val="(%1)"/>
      <w:numFmt w:val="lowerLetter"/>
      <w:start w:val="3"/>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7"/>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2"/>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2019-12-09T17:52:04Z</dcterms:created>
  <dcterms:modified xsi:type="dcterms:W3CDTF">2019-12-09T17:52:04Z</dcterms:modified>
</cp:coreProperties>
</file>