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9" w:lineRule="exact"/>
        <w:rPr>
          <w:sz w:val="24"/>
          <w:szCs w:val="24"/>
          <w:color w:val="auto"/>
        </w:rPr>
      </w:pPr>
    </w:p>
    <w:p>
      <w:pPr>
        <w:ind w:left="1300" w:right="3080" w:hanging="698"/>
        <w:spacing w:after="0" w:line="334" w:lineRule="auto"/>
        <w:tabs>
          <w:tab w:leader="none" w:pos="1300" w:val="left"/>
        </w:tabs>
        <w:numPr>
          <w:ilvl w:val="0"/>
          <w:numId w:val="1"/>
        </w:numPr>
        <w:rPr>
          <w:rFonts w:ascii="Arial" w:cs="Arial" w:eastAsia="Arial" w:hAnsi="Arial"/>
          <w:sz w:val="16"/>
          <w:szCs w:val="16"/>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2014</w:t>
      </w:r>
    </w:p>
    <w:p>
      <w:pPr>
        <w:spacing w:after="0" w:line="1"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1300" w:right="2800" w:hanging="698"/>
        <w:spacing w:after="0" w:line="410"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FFFFFF"/>
        </w:rPr>
        <w:t>________</w:t>
      </w: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16"/>
          <w:szCs w:val="16"/>
          <w:b w:val="1"/>
          <w:bCs w:val="1"/>
          <w:color w:val="auto"/>
        </w:rPr>
        <w:t>Commission file number 001-34963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LPL Financial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420"/>
          </w:cols>
          <w:pgMar w:left="240" w:top="944" w:right="239" w:bottom="1440" w:gutter="0" w:footer="0" w:header="0"/>
        </w:sectPr>
      </w:pPr>
    </w:p>
    <w:p>
      <w:pPr>
        <w:spacing w:after="0" w:line="127" w:lineRule="exact"/>
        <w:rPr>
          <w:sz w:val="24"/>
          <w:szCs w:val="24"/>
          <w:color w:val="auto"/>
        </w:rPr>
      </w:pPr>
    </w:p>
    <w:p>
      <w:pPr>
        <w:ind w:left="29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20-3717839</w:t>
      </w:r>
    </w:p>
    <w:p>
      <w:pPr>
        <w:spacing w:after="0" w:line="50" w:lineRule="exact"/>
        <w:rPr>
          <w:sz w:val="24"/>
          <w:szCs w:val="24"/>
          <w:color w:val="auto"/>
        </w:rPr>
      </w:pPr>
    </w:p>
    <w:p>
      <w:pPr>
        <w:sectPr>
          <w:pgSz w:w="11900" w:h="16838" w:orient="portrait"/>
          <w:cols w:equalWidth="0" w:num="2">
            <w:col w:w="7400" w:space="720"/>
            <w:col w:w="3300"/>
          </w:cols>
          <w:pgMar w:left="240" w:top="944" w:right="239" w:bottom="1440" w:gutter="0" w:footer="0" w:header="0"/>
          <w:type w:val="continuous"/>
        </w:sectPr>
      </w:pPr>
    </w:p>
    <w:p>
      <w:pPr>
        <w:ind w:left="16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164" w:lineRule="exact"/>
        <w:rPr>
          <w:sz w:val="24"/>
          <w:szCs w:val="24"/>
          <w:color w:val="auto"/>
        </w:rPr>
      </w:pPr>
    </w:p>
    <w:p>
      <w:pPr>
        <w:sectPr>
          <w:pgSz w:w="11900" w:h="16838" w:orient="portrait"/>
          <w:cols w:equalWidth="0" w:num="2">
            <w:col w:w="6820" w:space="720"/>
            <w:col w:w="3880"/>
          </w:cols>
          <w:pgMar w:left="240" w:top="944"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75 State Street, Boston, MA 02109</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(Address of principal executive offices; including zip code)</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617-423-3644</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4" w:lineRule="exact"/>
        <w:rPr>
          <w:sz w:val="24"/>
          <w:szCs w:val="24"/>
          <w:color w:val="auto"/>
        </w:rPr>
      </w:pPr>
    </w:p>
    <w:tbl>
      <w:tblPr>
        <w:tblLayout w:type="fixed"/>
        <w:tblInd w:w="182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340" w:type="dxa"/>
            <w:vAlign w:val="bottom"/>
            <w:gridSpan w:val="2"/>
          </w:tcPr>
          <w:p>
            <w:pPr>
              <w:jc w:val="center"/>
              <w:ind w:right="3060"/>
              <w:spacing w:after="0"/>
              <w:rPr>
                <w:sz w:val="20"/>
                <w:szCs w:val="20"/>
                <w:color w:val="auto"/>
              </w:rPr>
            </w:pPr>
            <w:r>
              <w:rPr>
                <w:rFonts w:ascii="Arial" w:cs="Arial" w:eastAsia="Arial" w:hAnsi="Arial"/>
                <w:sz w:val="14"/>
                <w:szCs w:val="14"/>
                <w:b w:val="1"/>
                <w:bCs w:val="1"/>
                <w:color w:val="auto"/>
              </w:rPr>
              <w:t>Title of Each Class</w:t>
            </w: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r>
      <w:tr>
        <w:trPr>
          <w:trHeight w:val="225"/>
        </w:trPr>
        <w:tc>
          <w:tcPr>
            <w:tcW w:w="5120" w:type="dxa"/>
            <w:vAlign w:val="bottom"/>
            <w:gridSpan w:val="3"/>
          </w:tcPr>
          <w:p>
            <w:pPr>
              <w:jc w:val="center"/>
              <w:ind w:right="2280"/>
              <w:spacing w:after="0"/>
              <w:rPr>
                <w:sz w:val="20"/>
                <w:szCs w:val="20"/>
                <w:color w:val="auto"/>
              </w:rPr>
            </w:pPr>
            <w:r>
              <w:rPr>
                <w:rFonts w:ascii="Arial" w:cs="Arial" w:eastAsia="Arial" w:hAnsi="Arial"/>
                <w:sz w:val="14"/>
                <w:szCs w:val="14"/>
                <w:color w:val="auto"/>
              </w:rPr>
              <w:t>Common Stock — $.001 par value per share</w:t>
            </w:r>
          </w:p>
        </w:tc>
        <w:tc>
          <w:tcPr>
            <w:tcW w:w="3140" w:type="dxa"/>
            <w:vAlign w:val="bottom"/>
          </w:tcPr>
          <w:p>
            <w:pPr>
              <w:jc w:val="center"/>
              <w:spacing w:after="0"/>
              <w:rPr>
                <w:sz w:val="20"/>
                <w:szCs w:val="20"/>
                <w:color w:val="auto"/>
              </w:rPr>
            </w:pPr>
            <w:r>
              <w:rPr>
                <w:rFonts w:ascii="Arial" w:cs="Arial" w:eastAsia="Arial" w:hAnsi="Arial"/>
                <w:sz w:val="14"/>
                <w:szCs w:val="14"/>
                <w:color w:val="auto"/>
              </w:rPr>
              <w:t>NASDAQ Global Select Market</w:t>
            </w: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79" w:lineRule="exact"/>
        <w:rPr>
          <w:sz w:val="24"/>
          <w:szCs w:val="24"/>
          <w:color w:val="auto"/>
        </w:rPr>
      </w:pPr>
    </w:p>
    <w:p>
      <w:pPr>
        <w:ind w:left="340" w:right="2480"/>
        <w:spacing w:after="0" w:line="389"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x No o Indicate by check mark if the registrant is not required to file reports pursuant to Section 13 or 15(d) of the Exchange Act. Yes o No x</w:t>
      </w:r>
    </w:p>
    <w:p>
      <w:pPr>
        <w:spacing w:after="0" w:line="1" w:lineRule="exact"/>
        <w:rPr>
          <w:sz w:val="24"/>
          <w:szCs w:val="24"/>
          <w:color w:val="auto"/>
        </w:rPr>
      </w:pPr>
    </w:p>
    <w:p>
      <w:pPr>
        <w:ind w:right="100" w:firstLine="324"/>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13" w:lineRule="exact"/>
        <w:rPr>
          <w:sz w:val="24"/>
          <w:szCs w:val="24"/>
          <w:color w:val="auto"/>
        </w:rPr>
      </w:pPr>
    </w:p>
    <w:p>
      <w:pPr>
        <w:ind w:right="40" w:firstLine="324"/>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18" w:lineRule="exact"/>
        <w:rPr>
          <w:sz w:val="24"/>
          <w:szCs w:val="24"/>
          <w:color w:val="auto"/>
        </w:rPr>
      </w:pPr>
    </w:p>
    <w:p>
      <w:pPr>
        <w:ind w:firstLine="324"/>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13" w:lineRule="exact"/>
        <w:rPr>
          <w:sz w:val="24"/>
          <w:szCs w:val="24"/>
          <w:color w:val="auto"/>
        </w:rPr>
      </w:pPr>
    </w:p>
    <w:p>
      <w:pPr>
        <w:ind w:right="260" w:firstLine="324"/>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44" w:right="239" w:bottom="1440" w:gutter="0" w:footer="0" w:header="0"/>
          <w:type w:val="continuous"/>
        </w:sectPr>
      </w:pPr>
    </w:p>
    <w:p>
      <w:pPr>
        <w:spacing w:after="0" w:line="13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54" w:lineRule="exact"/>
        <w:rPr>
          <w:sz w:val="24"/>
          <w:szCs w:val="24"/>
          <w:color w:val="auto"/>
        </w:rPr>
      </w:pPr>
    </w:p>
    <w:p>
      <w:pPr>
        <w:sectPr>
          <w:pgSz w:w="11900" w:h="16838" w:orient="portrait"/>
          <w:cols w:equalWidth="0" w:num="4">
            <w:col w:w="2600" w:space="720"/>
            <w:col w:w="1820" w:space="720"/>
            <w:col w:w="2340" w:space="720"/>
            <w:col w:w="2500"/>
          </w:cols>
          <w:pgMar w:left="240" w:top="944" w:right="239" w:bottom="1440" w:gutter="0" w:footer="0" w:header="0"/>
          <w:type w:val="continuous"/>
        </w:sectPr>
      </w:pPr>
    </w:p>
    <w:p>
      <w:pPr>
        <w:ind w:left="530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944" w:right="239" w:bottom="1440" w:gutter="0" w:footer="0" w:header="0"/>
          <w:type w:val="continuous"/>
        </w:sectPr>
      </w:pPr>
    </w:p>
    <w:p>
      <w:pPr>
        <w:spacing w:after="0" w:line="7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130" w:lineRule="exact"/>
        <w:rPr>
          <w:sz w:val="24"/>
          <w:szCs w:val="24"/>
          <w:color w:val="auto"/>
        </w:rPr>
      </w:pPr>
    </w:p>
    <w:p>
      <w:pPr>
        <w:sectPr>
          <w:pgSz w:w="11900" w:h="16838" w:orient="portrait"/>
          <w:cols w:equalWidth="0" w:num="2">
            <w:col w:w="7240" w:space="200"/>
            <w:col w:w="3980"/>
          </w:cols>
          <w:pgMar w:left="240" w:top="944" w:right="239" w:bottom="1440" w:gutter="0" w:footer="0" w:header="0"/>
          <w:type w:val="continuous"/>
        </w:sectPr>
      </w:pPr>
    </w:p>
    <w:p>
      <w:pPr>
        <w:ind w:right="180" w:firstLine="324"/>
        <w:spacing w:after="0" w:line="258" w:lineRule="auto"/>
        <w:rPr>
          <w:sz w:val="20"/>
          <w:szCs w:val="20"/>
          <w:color w:val="auto"/>
        </w:rPr>
      </w:pPr>
      <w:r>
        <w:rPr>
          <w:rFonts w:ascii="Arial" w:cs="Arial" w:eastAsia="Arial" w:hAnsi="Arial"/>
          <w:sz w:val="14"/>
          <w:szCs w:val="14"/>
          <w:color w:val="auto"/>
        </w:rPr>
        <w:t>As of June 30, 2014, the aggregate market value of the voting stock held by non-affiliates of the registrant was $4.3 billion. For purposes of this information, the outstanding shares of Common Stock owned by directors and executive officers of the registrant were deemed to be shares of the voting stock held by affiliates.</w:t>
      </w:r>
    </w:p>
    <w:p>
      <w:pPr>
        <w:spacing w:after="0" w:line="7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common stock, par value $0.001 per share, outstanding as of February 17, 2015 was 96,495,936.</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Portions of the definitive Proxy Statement to be delivered to stockholders in connection with the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gridSpan w:val="15"/>
          </w:tcPr>
          <w:p>
            <w:pPr>
              <w:ind w:left="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81"/>
        </w:trPr>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r>
      <w:tr>
        <w:trPr>
          <w:trHeight w:val="223"/>
        </w:trPr>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4380" w:type="dxa"/>
            <w:vAlign w:val="bottom"/>
            <w:gridSpan w:val="9"/>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320" w:type="dxa"/>
            <w:vAlign w:val="bottom"/>
          </w:tcPr>
          <w:p>
            <w:pPr>
              <w:spacing w:after="0"/>
              <w:rPr>
                <w:sz w:val="20"/>
                <w:szCs w:val="20"/>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1A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5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1B</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2</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5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3</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5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Item 4</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52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2"/>
          </w:tcPr>
          <w:p>
            <w:pPr>
              <w:jc w:val="center"/>
              <w:ind w:right="4360"/>
              <w:spacing w:after="0"/>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PART II</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Item 5</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Item 6</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5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Item 7</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60" w:type="dxa"/>
            <w:vAlign w:val="bottom"/>
            <w:gridSpan w:val="2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Operations</w:t>
              </w:r>
            </w:hyperlink>
          </w:p>
        </w:tc>
        <w:tc>
          <w:tcPr>
            <w:tcW w:w="520" w:type="dxa"/>
            <w:vAlign w:val="bottom"/>
            <w:gridSpan w:val="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7A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52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8</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52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Item 9</w:t>
              </w:r>
            </w:hyperlink>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Changes in and Disagreements with Accountants on Accounting and Financial</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60" w:type="dxa"/>
            <w:vAlign w:val="bottom"/>
            <w:gridSpan w:val="28"/>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Disclosure</w:t>
              </w:r>
            </w:hyperlink>
          </w:p>
        </w:tc>
        <w:tc>
          <w:tcPr>
            <w:tcW w:w="520" w:type="dxa"/>
            <w:vAlign w:val="bottom"/>
            <w:gridSpan w:val="3"/>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Item 9A</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52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Item 9B</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52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340"/>
              <w:spacing w:after="0"/>
              <w:rPr>
                <w:rFonts w:ascii="Arial" w:cs="Arial" w:eastAsia="Arial" w:hAnsi="Arial"/>
                <w:sz w:val="18"/>
                <w:szCs w:val="18"/>
                <w:b w:val="1"/>
                <w:bCs w:val="1"/>
                <w:color w:val="0000EE"/>
                <w:w w:val="95"/>
              </w:rPr>
            </w:pPr>
            <w:hyperlink w:anchor="page67">
              <w:r>
                <w:rPr>
                  <w:rFonts w:ascii="Arial" w:cs="Arial" w:eastAsia="Arial" w:hAnsi="Arial"/>
                  <w:sz w:val="18"/>
                  <w:szCs w:val="18"/>
                  <w:b w:val="1"/>
                  <w:bCs w:val="1"/>
                  <w:color w:val="0000EE"/>
                  <w:w w:val="95"/>
                </w:rPr>
                <w:t>PART III</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Item 10</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52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Item 11</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52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Item 12</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Item 13</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52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Item 14</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52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53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Borders>
              <w:bottom w:val="single" w:sz="8" w:color="0000EE"/>
            </w:tcBorders>
            <w:gridSpan w:val="8"/>
          </w:tcPr>
          <w:p>
            <w:pPr>
              <w:jc w:val="center"/>
              <w:spacing w:after="0"/>
              <w:rPr>
                <w:rFonts w:ascii="Arial" w:cs="Arial" w:eastAsia="Arial" w:hAnsi="Arial"/>
                <w:sz w:val="18"/>
                <w:szCs w:val="18"/>
                <w:b w:val="1"/>
                <w:bCs w:val="1"/>
                <w:color w:val="0000EE"/>
                <w:w w:val="98"/>
              </w:rPr>
            </w:pPr>
            <w:hyperlink w:anchor="page71">
              <w:r>
                <w:rPr>
                  <w:rFonts w:ascii="Arial" w:cs="Arial" w:eastAsia="Arial" w:hAnsi="Arial"/>
                  <w:sz w:val="18"/>
                  <w:szCs w:val="18"/>
                  <w:b w:val="1"/>
                  <w:bCs w:val="1"/>
                  <w:color w:val="0000EE"/>
                  <w:w w:val="98"/>
                </w:rPr>
                <w:t>PART IV</w:t>
              </w:r>
            </w:hyperlink>
          </w:p>
        </w:tc>
        <w:tc>
          <w:tcPr>
            <w:tcW w:w="4320" w:type="dxa"/>
            <w:vAlign w:val="bottom"/>
            <w:gridSpan w:val="6"/>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237"/>
        </w:trPr>
        <w:tc>
          <w:tcPr>
            <w:tcW w:w="600" w:type="dxa"/>
            <w:vAlign w:val="bottom"/>
            <w:gridSpan w:val="2"/>
          </w:tcPr>
          <w:p>
            <w:pPr>
              <w:spacing w:after="0"/>
              <w:rPr>
                <w:rFonts w:ascii="Arial" w:cs="Arial" w:eastAsia="Arial" w:hAnsi="Arial"/>
                <w:sz w:val="18"/>
                <w:szCs w:val="18"/>
                <w:color w:val="0000EE"/>
                <w:w w:val="93"/>
              </w:rPr>
            </w:pPr>
            <w:hyperlink w:anchor="page72">
              <w:r>
                <w:rPr>
                  <w:rFonts w:ascii="Arial" w:cs="Arial" w:eastAsia="Arial" w:hAnsi="Arial"/>
                  <w:sz w:val="18"/>
                  <w:szCs w:val="18"/>
                  <w:color w:val="0000EE"/>
                  <w:w w:val="93"/>
                </w:rPr>
                <w:t>Item 15</w:t>
              </w:r>
            </w:hyperlink>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60" w:type="dxa"/>
            <w:vAlign w:val="bottom"/>
            <w:gridSpan w:val="2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Schedules</w:t>
              </w:r>
            </w:hyperlink>
          </w:p>
        </w:tc>
        <w:tc>
          <w:tcPr>
            <w:tcW w:w="52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5540" w:type="dxa"/>
            <w:vAlign w:val="bottom"/>
            <w:gridSpan w:val="16"/>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380" w:type="dxa"/>
            <w:vAlign w:val="bottom"/>
            <w:gridSpan w:val="2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EXHIBIT INDEX</w:t>
              </w:r>
            </w:hyperlink>
          </w:p>
        </w:tc>
        <w:tc>
          <w:tcPr>
            <w:tcW w:w="52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37"/>
        </w:trPr>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8060" w:type="dxa"/>
            <w:vAlign w:val="bottom"/>
            <w:gridSpan w:val="24"/>
          </w:tcPr>
          <w:p>
            <w:pPr>
              <w:spacing w:after="0"/>
              <w:rPr>
                <w:sz w:val="20"/>
                <w:szCs w:val="20"/>
                <w:color w:val="auto"/>
              </w:rPr>
            </w:pPr>
          </w:p>
        </w:tc>
        <w:tc>
          <w:tcPr>
            <w:tcW w:w="200" w:type="dxa"/>
            <w:vAlign w:val="bottom"/>
            <w:tcBorders>
              <w:top w:val="single" w:sz="8" w:color="0000EE"/>
            </w:tcBorders>
            <w:gridSpan w:val="2"/>
          </w:tcPr>
          <w:p>
            <w:pPr>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72</w:t>
              </w:r>
            </w:hyperlink>
          </w:p>
        </w:tc>
        <w:tc>
          <w:tcPr>
            <w:tcW w:w="320" w:type="dxa"/>
            <w:vAlign w:val="bottom"/>
          </w:tcPr>
          <w:p>
            <w:pPr>
              <w:spacing w:after="0"/>
              <w:rPr>
                <w:sz w:val="20"/>
                <w:szCs w:val="20"/>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540"/>
          </w:cols>
          <w:pgMar w:left="280" w:top="576" w:right="10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quarterly reports on Form 10-Q, our proxy statements,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Annual Report on Form 10-K.</w:t>
      </w:r>
    </w:p>
    <w:p>
      <w:pPr>
        <w:spacing w:after="0" w:line="191"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Statements in Item 7 - “Management's Discussion and Analysis of Financial Condition and Results of Operations” and other sections of this Annual Report on Form 10 -K regarding the Company's future financial and operating results, growth, business strategies, plans, liquidity, future share repurchases, and future dividends, including statements regarding projected savings, projected expenses, and anticipated improvements to the Company's operating model, services, and technology as a result of its Service Value Commitment or restructuring initiatives, as well as any other statements that are not related to present facts or current conditions or that are not purely historical, constitute forward-looking statements. These forward -looking statements are based on the Company's historical performance and its plans, estimates, and expectations as of February 20, 2015.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effect of current, pending, and future legislation, regulation, and regulatory actions, including disciplinary actions imposed by federal and state securities regulators and self-regulatory organizations; the costs of settling and remediating issues related to pending or future regulatory matters; the Company's success in integrating the operations of acquired businesses; execution of the Company's plans related to its Service Value Commitment or restructuring initiatives, including the Company's ability to successfully transform and transition business processes to third-party service providers; the Company's success in negotiating and developing commercial arrangements with third-party service providers that will enable the Company to realize the service improvements and efficiencies expected to result from its Service Value Commitment or restructuring initiatives; the performance of third-party service providers to which business processes are transitioned from the Company; the Company's ability to control operating risks, information technology systems risks, cybersecurity risks, and sourcing risks; and the other factors set forth in Part I, Item 1A - “Risk Factors”. Except as required by law, the Company specifically disclaims any obligation to update any forward-looking statements as a result of developments occurring after the date of this annual report, even if its estimates change, and you should not rely on statements contained herein as representing the Company's views as of any date subsequent to the date of this annual report.</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576"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Overview</w:t>
      </w:r>
    </w:p>
    <w:p>
      <w:pPr>
        <w:spacing w:after="0" w:line="11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throughout the United States, enabling them to provide their retail investors (their "clients") with objective financial advice through a lower conflict model. We also support approximately 4,400 financial advisors who are affiliated and licensed with insurance companies through customized clearing services, advisory platforms, and technology solutions.</w:t>
      </w:r>
    </w:p>
    <w:p>
      <w:pPr>
        <w:spacing w:after="0" w:line="15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18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a leading financial services provider to independent advisors, RIAs, financial institutions, and retirement plan business. As a result, we are a market leader with the largest independent advisor base, and we believe we have the fourth-largest overall advisor base in the United States. Through our advisors, we are also one of the largest distributors of financial products and services in the United States, with over $77 billion in sales of mutual funds, annuities, alternative investments, and advisory services accounts in 2014.</w:t>
      </w:r>
    </w:p>
    <w:p>
      <w:pPr>
        <w:spacing w:after="0" w:line="96"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We began operations through LPL Financial LLC ("LPL Financial"), our broker-dealer subsidiary, in 1989. LPL Financial Holdings Inc., which is the parent company of our collective businesses was incorporated in Delaware in 2005. LPL Financial is a clearing broker-dealer and an investment advisor that primarily transacts business as an agent for our advisors on behalf of their clients through a broad array of financial products and services. Fortigent Holdings Company, Inc. and its subsidiaries ("Fortigent") is a leading provider of solutions and consulting services to RIAs, banks and trust companies that serve high-net-worth clients. Through our subsidiary The Private Trust Company, N.A. ("PTC"), we offer trust administration, investment management oversight and RIA custodial services for estates and families. Our subsidiary, Independent Advisers Group Corporation (“IAG”), offers an investment advisory solution to insurance companies to support their financial advisors who are licensed with them. Our subsidiary, LPL Insurance Associates, Inc., ("LPLIA"), operates as a brokerage general agency that offers life, long-term care, and disability insurance sales and services.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Advisor Relationships</w:t>
      </w:r>
    </w:p>
    <w:p>
      <w:pPr>
        <w:spacing w:after="0" w:line="139"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Our business is dedicated exclusively to our advisors; we are not a market-maker nor do we offer investment banking or underwriting services. We offer no proprietary products of our own. Because we do not offer proprietary products, we enable the independent financial advisors, banks, and credit unions with whom we partner to offer their clients lower-conflict advice.</w:t>
      </w:r>
    </w:p>
    <w:p>
      <w:pPr>
        <w:spacing w:after="0" w:line="9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believe we offer a compelling economic value proposition to independent advisors, which is a key factor in our ability to attract and retain advisors and their practices. The independent channels pay advisors a greater share of brokerage commissions and advisory fees than the captive channels — generally 80-90% compared to 30-50%. Through our scale and operating efficiencies, we are able to offer our advisors what we believe to be the highest average payout ratios among the five largest U.S. broker-dealers, ranked by number of advisors, providing us with a significant competitive advantage.</w:t>
      </w:r>
    </w:p>
    <w:p>
      <w:pPr>
        <w:spacing w:after="0" w:line="97"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Furthermore, we believe our technology and service platforms enable our advisors to operate their practices with a greater focus on generating revenue opportunities and at a lower cost than other independent advisors. As a result, we believe our advisors who own practices earn more pre-tax profit than practice owners affiliated with other independent brokerage firms. Finally, as business owners, our independent financial advisors, unlike captive advisors, also have the opportunity to build equity in their own businesses.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4" w:name="page5"/>
    <w:bookmarkEnd w:id="4"/>
    <w:p>
      <w:pPr>
        <w:ind w:right="20" w:firstLine="486"/>
        <w:spacing w:after="0" w:line="278" w:lineRule="auto"/>
        <w:rPr>
          <w:sz w:val="20"/>
          <w:szCs w:val="20"/>
          <w:color w:val="auto"/>
        </w:rPr>
      </w:pPr>
      <w:r>
        <w:rPr>
          <w:rFonts w:ascii="Arial" w:cs="Arial" w:eastAsia="Arial" w:hAnsi="Arial"/>
          <w:sz w:val="17"/>
          <w:szCs w:val="17"/>
          <w:color w:val="auto"/>
        </w:rPr>
        <w:t>Our advisors build long-term relationships with their clients in communities across the U.S. by guiding them through the complexities of investment decisions, retirement solutions, financial planning, and wealth-management. Our advisors support approximately 4.5 million client accounts. Our services support the evolution of our advisors’ businesses over time and are designed to change as our advisors' needs change.</w:t>
      </w:r>
    </w:p>
    <w:p>
      <w:pPr>
        <w:spacing w:after="0" w:line="7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Advisors licensed with LPL Financial as registered representatives and as investment advisory representatives are able to conduct both commission-based business on our brokerage platform and fee-based business on our corporate RIA platform. In order to be licensed with LPL Financial, advisors must be approved through our assessment process, which includes a thorough review of each advisor’s education, experience, and credit and compliance history. Approved advisors become registered with LPL Financial and enter into a representative agreement that establishes the duties and responsibilities of each party. Pursuant to the representative agreement, each advisor makes a series of representations, including that the advisor will disclose to all clients and prospective clients that the advisor is acting as LPL Financial's registered representative or investment advisory representative, that all orders for securities will be placed through LPL Financial, that the advisor will sell only products LPL Financial has approved, and that the advisor will comply with LPL Financial policies and procedures as well as securities rules and regulations. These advisors also agree not to engage in any outside business activity without prior approval from us and not to act as an agent for any of our competitors.</w:t>
      </w:r>
    </w:p>
    <w:p>
      <w:pPr>
        <w:spacing w:after="0" w:line="1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advisors average over 15 years of industry experience. This level of industry experience allows us to focus on supporting and enhancing our advisors’ businesses without needing to provide basic training or subsidizing advisors who are new to the industry. Our flexible business platform allows our advisors to choose the most appropriate business model to support their clients, whether they conduct brokerage business, offer brokerage and fee-based services on our corporate RIA platforms, or provide fee-based services through their own RIAs.</w:t>
      </w:r>
    </w:p>
    <w:p>
      <w:pPr>
        <w:spacing w:after="0" w:line="96"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majority of our advisors are entrepreneurial independent contractors that are primarily located in rural and suburban areas and as such are viewed as local providers of independent advice, many of whom operate under their own business name. We assist these advisors with their own branding, marketing and promotion, and regulatory review.</w:t>
      </w:r>
    </w:p>
    <w:p>
      <w:pPr>
        <w:spacing w:after="0" w:line="94"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auto"/>
        </w:rPr>
        <w:t>LPL Financial also supports over 320 stand-alone RIA practices ("Independent RIAs") with over 2,700 advisors who conduct their advisory business through separate entities by establishing their own RIAs, rather than using our corporate RIA. These Independent RIAs engage us for technology, clearing, compliance related and custody services, as well as access to certain of our investment platforms. These advisors retain 100% of their advisory fees. In return, we charge separate fees for custody, trading, and support services to the Independent RIAs. In addition, most Independent RIAs seeking to operate a hybrid model carry their brokerage license with LPL Financial and access our fully-integrated brokerage platform under standard terms.</w:t>
      </w:r>
    </w:p>
    <w:p>
      <w:pPr>
        <w:spacing w:after="0" w:line="10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believe we are the market leader in providing support to over 2,200 financial advisors at approximately 700 banks and credit unions nationwide. For these institutions, whose core capabilities may not include investment and financial planning services, or who find the technology, infrastructure, and regulatory requirements to be cost prohibitive, we provide their financial advisors with the services they need to be successful, allowing the institutions to focus more energy and capital on their core businesses.</w:t>
      </w:r>
    </w:p>
    <w:p>
      <w:pPr>
        <w:spacing w:after="0" w:line="9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A subset of our advisors provides advice and serves group retirement plans primarily for small and mid-size businesses. These approximately 1,500 advisors serve over 31,600 retirement plans representing $80.3 billion in retirement plan assets custodied at various custodians. LPL Financial provides these advisors with marketing tools and technology capabilities that are designed for retirement solutions.</w:t>
      </w:r>
    </w:p>
    <w:p>
      <w:pPr>
        <w:spacing w:after="0" w:line="9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also provide support to approximately 4,400 additional financial advisors who are affiliated and licensed with insurance companies. These arrangements allow us to provide outsourced customized clearing, advisory platforms, and technology solutions that enable the financial advisors at these insurance companies to offer a breadth of services to their client base in an efficient manner.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39"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core of our business is dedicated to meeting the evolving needs of our advisors and providing the platform and tools to grow and enhance the profitability of their businesses. Our Service Value Commitment initiative expresses our dedication to continuous improvement in the processes, systems, and resources we leverage to meet these needs. This initiative is also designed to create a better service experience for our advisors, evolve our operating model to simplify processes and enhance our ability to invest in areas that are differentiators for our business by lowering our costs in areas where work can be performed more effectively by outsourcing partners specializing in this work.</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06" w:right="259" w:bottom="1440" w:gutter="0" w:footer="0" w:header="0"/>
        </w:sectPr>
      </w:pPr>
    </w:p>
    <w:bookmarkStart w:id="5" w:name="page6"/>
    <w:bookmarkEnd w:id="5"/>
    <w:p>
      <w:pPr>
        <w:ind w:right="800" w:firstLine="486"/>
        <w:spacing w:after="0" w:line="254" w:lineRule="auto"/>
        <w:rPr>
          <w:sz w:val="20"/>
          <w:szCs w:val="20"/>
          <w:color w:val="auto"/>
        </w:rPr>
      </w:pPr>
      <w:r>
        <w:rPr>
          <w:rFonts w:ascii="Arial" w:cs="Arial" w:eastAsia="Arial" w:hAnsi="Arial"/>
          <w:sz w:val="18"/>
          <w:szCs w:val="18"/>
          <w:color w:val="auto"/>
        </w:rPr>
        <w:t>We support our advisors by providing front-, middle-, and back-office solutions through our distinct value proposition: integrated technology solutions, comprehensive clearing and compliance services, consultive practice management programs and training, and independent research. The comprehensive and automated nature of our offering enables our advisors to focus on their clients while successfully and efficiently managing the complexities of running their own practice.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Technology Solutions</w:t>
      </w:r>
    </w:p>
    <w:p>
      <w:pPr>
        <w:spacing w:after="0" w:line="13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provide our technology and service to advisors through an integrated technology platform that is server-based and web-accessible. This allows our advisors to effectively manage all critical aspects of their businesses while remaining highly efficient and responsive to their clients’ needs. Time-consuming processes, such as account opening and management, document imaging, transaction execution, and account rebalancing, are automated to improve efficiency and accuracy.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Clearing and Compliance Services</w:t>
      </w:r>
    </w:p>
    <w:p>
      <w:pPr>
        <w:spacing w:after="0" w:line="13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custody and clear the majority of our advisors’ transactions, providing a simplified and streamlined advisor experience and expedited processing capabilities. Our self-clearing platform enables us to better control client data, more efficiently process and report trades, facilitate platform development, reduce costs, and ultimately enhance the service experience for our advisors and their clients. Our self-clearing platform also enables us to serve a wider range of advisors, including Independent RIAs.</w:t>
      </w:r>
    </w:p>
    <w:p>
      <w:pPr>
        <w:spacing w:after="0" w:line="9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Our services are backed by our service center and operations organizations focused on providing timely, accurate, and consistent support. To enhance the service effort, our service center utilizes Service360, a service paradigm available to the majority our advisors and Independent RIAs that offers a small team-based approach. This service model emphasizes personal accountability and empowerment within each Service360 team. Service360 currently serves over 10,300 advisors.</w:t>
      </w:r>
    </w:p>
    <w:p>
      <w:pPr>
        <w:spacing w:after="0" w:line="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continue to make substantial investments in our compliance function to provide our advisors with a strong framework through which to understand and operate within regulatory guidelines, as well as guidelines we establish. Protecting the best interests of investors and our affiliated advisors is of utmost importance to us. As the financial industry and regulatory environment evolve and become more complex, we remain devoted to serving our clients ethically and exceedingly well. We have made a long-term commitment to enhancing our risk management and compliance structure. Since 2012, we have made increasing investments in our core infrastructure—including people, process, and technology—to sustain a leading control environment focused on risk that matters. These investments include hiring and retaining experienced compliance and risk professionals and technology-related expenditures. Our compliance and risk management tools are integrated into our technology platform to further enhance the overall effectiveness and scalability of our control environment.</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team of risk and compliance employees assist our advisors through:</w:t>
      </w:r>
    </w:p>
    <w:p>
      <w:pPr>
        <w:spacing w:after="0" w:line="63" w:lineRule="exact"/>
        <w:rPr>
          <w:sz w:val="20"/>
          <w:szCs w:val="20"/>
          <w:color w:val="auto"/>
        </w:rPr>
      </w:pPr>
    </w:p>
    <w:p>
      <w:pPr>
        <w:ind w:left="660" w:right="2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training and advising advisors on new products, new regulatory guidelines, compliance and risk management tools, security policies and procedures, anti-money laundering, and best practices;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supervising sales practice activities and facilitating the oversight of activities for branch managers;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technology-enabled surveillance of trading activities and sales practices;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overseeing and monitoring of registered investment advisory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inspecting branch offices and advising on how to strengthen compliance procedures;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to invest in technology assisted supervisory and surveillance tools.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Practice Management Programs and Training</w:t>
      </w:r>
    </w:p>
    <w:p>
      <w:pPr>
        <w:spacing w:after="0" w:line="13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practice management programs are designed to help financial advisors in independent practices and financial institutions, as well as all levels of financial institution leadership, enhance and grow their businesses. Our experience gives us the ability to benchmark the best practices of successful advisors and develop customized recommendations to meet the specific needs of an advisor’s business and market. Because of our scale, we are able to dedicate an experienced group of practice management professionals who counsel our advisors to build and better manage their business and client relationships through one-on-one support as well as group training. In addition, we hold over 100 conferences and group training events around the country annually for the benefit of our advisors. Our practice management and training services include:</w:t>
      </w:r>
    </w:p>
    <w:p>
      <w:pPr>
        <w:spacing w:after="0" w:line="45" w:lineRule="exact"/>
        <w:rPr>
          <w:sz w:val="20"/>
          <w:szCs w:val="20"/>
          <w:color w:val="auto"/>
        </w:rPr>
      </w:pPr>
    </w:p>
    <w:p>
      <w:pPr>
        <w:ind w:left="660" w:right="40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personalized business consulting that helps advisors and program leadership enhance the value and operational efficiency of their businesses;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06" w:right="259" w:bottom="1440" w:gutter="0" w:footer="0" w:header="0"/>
        </w:sectPr>
      </w:pPr>
    </w:p>
    <w:bookmarkStart w:id="6" w:name="page7"/>
    <w:bookmarkEnd w:id="6"/>
    <w:p>
      <w:pPr>
        <w:ind w:left="660" w:right="54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advisory and brokerage consulting and financial planning to support advisors in growing their businesses with our broad range of products and fee-based offerings, as well as wealth management services to assist advisors serving high-net-worth clients with comprehensive estate, tax, philanthropic, and financial planning processes;</w:t>
      </w:r>
    </w:p>
    <w:p>
      <w:pPr>
        <w:spacing w:after="0" w:line="39"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strategies, including campaign templates, to enable advisors to build awareness of their services and capitalize on opportunities in their local markets;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succession planning and an advisor loan program for advisors looking to either sell their own or buy another practice;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services to help advisors establish independent practices and migrate client accounts to us;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training and educational programs on topics including technology, use of advisory platforms, and business development.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w:t>
      </w:r>
    </w:p>
    <w:p>
      <w:pPr>
        <w:spacing w:after="0" w:line="135"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We provide our advisors with integrated access to comprehensive research on a broad range of investments and market analysis, including on mutual funds, separate accounts, alternative investments and annuities, asset allocation strategies, financial markets, and the economy. Based on our research we create discretionary portfolios, for which we serve as a portfolio manager, that are available through the LPL Financial turnkey advisory asset management platforms. Our research team provides lower-conflict advice that is designed to empower our advisors to provide their clients with thoughtful advice in a timely manner. Our research team actively works with our product due diligence group to effectively scrutinize the financial products offered through our platform. Our lack of proprietary products or investment banking services helps ensure that our research remains unbiased and objective. A substantial portion of our research materials are approved by our Marketing Regulatory Review department for use with advisors' clients, allowing our advisors to leverage these materials to help their clients understand complex investment topics and make informed decisions.</w:t>
      </w:r>
    </w:p>
    <w:p>
      <w:pPr>
        <w:spacing w:after="0" w:line="10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also offer independent investment research on macro-economic analysis, capital markets assumptions, and strategic and tactical asset allocation. We also provide robust third-party asset manager search, selection, and monitoring services for both traditional and alternative strategies across all investment access points (ETFs, mutual funds, separately managed accounts, unified managed accounts, and other products and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and Solution Access</w:t>
      </w:r>
    </w:p>
    <w:p>
      <w:pPr>
        <w:spacing w:after="0" w:line="13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We do not manufacture any financial products. Instead, we provide our advisors with open architecture access to a broad range of commission, fee-based, cash, and money market products and services. Our product due diligence group conducts extensive diligence on substantially all of our product offerings, including annuities, mutual funds, exchange-traded funds, and alternative investments, including real estate investment trusts. Our platform provides access to over 13,000 financial products, manufactured by 900 product sponsors. Typically, we enter into arrangements with these product sponsors pursuant to the sponsor’s standard distribution agreement.</w:t>
      </w:r>
    </w:p>
    <w:p>
      <w:pPr>
        <w:spacing w:after="0" w:line="97"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The sales and administration of these products are facilitated through our technology solutions that allow our advisors to access client accounts, product information, asset allocation models, investment recommendations, and economic insight as well as to perform trade execution.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Commission-Based Products</w:t>
      </w:r>
    </w:p>
    <w:p>
      <w:pPr>
        <w:spacing w:after="0" w:line="13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Commission-based products are those for which we and our advisors receive an upfront commission and, for certain products, a trailing commission. Our brokerage offerings include variable and fixed annuities, mutual funds, equities, alternative investments such as non-traded real estate investment trusts and business development companies, retirement and 529 education savings plans, fixed income, and insurance. Our insurance offering is provided through LPLIA, a brokerage general agency that provides personalized advance case design, point-of-sale service, and product support for a broad range of life, disability, and long-term care products. As of December 31, 2014, the total assets in our commission-based products were $299.3 billion.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Fee-Based Advisory Platforms and Support</w:t>
      </w:r>
    </w:p>
    <w:p>
      <w:pPr>
        <w:spacing w:after="0" w:line="1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LPL Financial has five fee-based advisory platforms that provide centrally managed or customized solutions from which advisors can choose to meet the investment needs of their mass affluent clients (those investors with $ 100,000 or greater in investable assets) and high-net-worth clients. The fee structure aligns the interests of our advisors with their clients, while establishing a recurring revenue stream for the advisor and for us. Our fee-based platforms provide access to no-load/load-waived mutual funds, exchange-traded funds, stocks, bonds, conservative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2" w:right="239" w:bottom="1440" w:gutter="0" w:footer="0" w:header="0"/>
        </w:sectPr>
      </w:pPr>
    </w:p>
    <w:bookmarkStart w:id="7" w:name="page8"/>
    <w:bookmarkEnd w:id="7"/>
    <w:p>
      <w:pPr>
        <w:ind w:right="140"/>
        <w:spacing w:after="0" w:line="262" w:lineRule="auto"/>
        <w:rPr>
          <w:sz w:val="20"/>
          <w:szCs w:val="20"/>
          <w:color w:val="auto"/>
        </w:rPr>
      </w:pPr>
      <w:r>
        <w:rPr>
          <w:rFonts w:ascii="Arial" w:cs="Arial" w:eastAsia="Arial" w:hAnsi="Arial"/>
          <w:sz w:val="18"/>
          <w:szCs w:val="18"/>
          <w:color w:val="auto"/>
        </w:rPr>
        <w:t>option strategies, unit investment trusts, and institutional money managers and no-load multi-manager variable annuities. As of December 31, 2014, the total assets under custody in these platforms were $175.8 billion.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Programs</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assist our advisors in managing their clients’ cash balances through two primary cash sweep programs depending on account type: a money market sweep vehicle involving money market fund providers and an insured bank deposit sweep vehicle. Our insured bank deposit sweep vehicle allocates client cash balances across multiple non-affiliated banks to provide advisors with up to $1.5 million ($3.0 million joint) of insurance through the Federal Deposit Insurance Corporation (“FDIC”). As of December 31, 2014, the total assets in our cash sweep programs, which are held within brokerage and advisory accounts, were approximately $26.0 billion, with $7.4 billion held in a money market sweep vehicle and $18.6 billion in an insured bank deposit sweep vehicle.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Services</w:t>
      </w:r>
    </w:p>
    <w:p>
      <w:pPr>
        <w:spacing w:after="0" w:line="135"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We offer a retirement solution that is fee-based and allows qualified advisors to provide consultation and advice to plan sponsors using our corporate RIA. We also offer a retirement solution that provides for commission-based services. Our advisors, whether through our corporate RIA or through an Independent RIA, serve over 31,600 retirement plans representing at least $80.3 billion in retirement plan assets. These retirement plan assets are custodied with LPL Financial or various third-party providers of retirement plan administrative services who provide us with direct reporting feeds. There are additional retirement plan assets supported by our advisors that are custodied with third-party providers who do not provide reporting feeds to us. We estimate there are over 40,000 retirement plans served by our advisors with total retirement plan assets to be between $115.0 billion and $125.0 billion. The retirement plan assets that are not custodied at LPL Financial are not included in our reported advisory and brokerage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135"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We provide a number of tools and services that enable advisors to maintain and grow their practices. Through our subsidiary PTC, we provide custodial services to trusts for estates and families. Under our unique model, an advisor may provide a trust with investment management services, while administrative services for the trust are provided by PTC.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overall financial performance is a function of the following dynamics of our business:</w:t>
      </w:r>
    </w:p>
    <w:p>
      <w:pPr>
        <w:spacing w:after="0" w:line="63" w:lineRule="exact"/>
        <w:rPr>
          <w:sz w:val="20"/>
          <w:szCs w:val="20"/>
          <w:color w:val="auto"/>
        </w:rPr>
      </w:pPr>
    </w:p>
    <w:p>
      <w:pPr>
        <w:ind w:left="660" w:right="120" w:hanging="328"/>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stem from diverse sources, including advisor-generated commission and advisory fees as well as fees from product manufacturers, omnibus, networking services, cash sweep balances, and other ancillary services. Revenues are not concentrated by advisor, product, or geography. For the year ended December 31, 2014, no single relationship with our independent advisor practices, banks, credit unions, or insurance companies accounted for more than 3% of our net revenues, and no single advisor accounted for more than 1% of our net revenues.</w:t>
      </w:r>
    </w:p>
    <w:p>
      <w:pPr>
        <w:spacing w:after="0" w:line="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largest variable component of our cost base, advisor payout percentages, is directly linked to revenues generated by our advisors.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portion of our revenues, such as software licensing and account and client fees, are not correlated with the equity financial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model is scalable and can deliver expanding profit margins over time.</w:t>
      </w:r>
    </w:p>
    <w:p>
      <w:pPr>
        <w:spacing w:after="0" w:line="63"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able to operate with low capital expenditures and limited capital requirements, and as a result generate substantial free cash flow, which we have committed to investing in our business as well as returning value to shareholders.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06" w:right="259" w:bottom="1440" w:gutter="0" w:footer="0" w:header="0"/>
        </w:sectPr>
      </w:pPr>
    </w:p>
    <w:bookmarkStart w:id="8" w:name="page9"/>
    <w:bookmarkEnd w:id="8"/>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majority of our revenue base is recurring in nature, with approximately 68% recurring revenue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40640</wp:posOffset>
            </wp:positionV>
            <wp:extent cx="3481705" cy="3473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170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Leadership Position and Significant Scale</w:t>
      </w:r>
    </w:p>
    <w:p>
      <w:pPr>
        <w:spacing w:after="0" w:line="139"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We are the established leader in the independent advisor market, which is our core business focus. Our scale enables us to benefit from the following dynamics:</w:t>
      </w:r>
    </w:p>
    <w:p>
      <w:pPr>
        <w:spacing w:after="0" w:line="16" w:lineRule="exact"/>
        <w:rPr>
          <w:sz w:val="20"/>
          <w:szCs w:val="20"/>
          <w:color w:val="auto"/>
        </w:rPr>
      </w:pPr>
    </w:p>
    <w:p>
      <w:pPr>
        <w:ind w:left="660" w:right="240" w:hanging="328"/>
        <w:spacing w:after="0" w:line="282"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Continual Reinvestment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actively reinvest in our comprehensive technology platform and practice management support, which</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improves the productivity of our advisors.</w:t>
      </w:r>
    </w:p>
    <w:p>
      <w:pPr>
        <w:spacing w:after="0" w:line="53" w:lineRule="exact"/>
        <w:rPr>
          <w:rFonts w:ascii="Arial" w:cs="Arial" w:eastAsia="Arial" w:hAnsi="Arial"/>
          <w:sz w:val="18"/>
          <w:szCs w:val="18"/>
          <w:i w:val="1"/>
          <w:iCs w:val="1"/>
          <w:color w:val="auto"/>
        </w:rPr>
      </w:pPr>
    </w:p>
    <w:p>
      <w:pPr>
        <w:ind w:left="660" w:right="60" w:hanging="328"/>
        <w:spacing w:after="0" w:line="282"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Pricing Power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one of the largest distributors of financial products in the United States, we are able to obtain attractive economics</w:t>
      </w:r>
      <w:r>
        <w:rPr>
          <w:rFonts w:ascii="Arial" w:cs="Arial" w:eastAsia="Arial" w:hAnsi="Arial"/>
          <w:sz w:val="18"/>
          <w:szCs w:val="18"/>
          <w:i w:val="1"/>
          <w:iCs w:val="1"/>
          <w:color w:val="auto"/>
        </w:rPr>
        <w:t xml:space="preserve"> </w:t>
      </w:r>
      <w:r>
        <w:rPr>
          <w:rFonts w:ascii="Arial" w:cs="Arial" w:eastAsia="Arial" w:hAnsi="Arial"/>
          <w:sz w:val="18"/>
          <w:szCs w:val="18"/>
          <w:color w:val="auto"/>
        </w:rPr>
        <w:t>from product manufacturers.</w:t>
      </w:r>
    </w:p>
    <w:p>
      <w:pPr>
        <w:spacing w:after="0" w:line="53" w:lineRule="exact"/>
        <w:rPr>
          <w:rFonts w:ascii="Arial" w:cs="Arial" w:eastAsia="Arial" w:hAnsi="Arial"/>
          <w:sz w:val="18"/>
          <w:szCs w:val="18"/>
          <w:i w:val="1"/>
          <w:iCs w:val="1"/>
          <w:color w:val="auto"/>
        </w:rPr>
      </w:pPr>
    </w:p>
    <w:p>
      <w:pPr>
        <w:ind w:left="660" w:right="240" w:hanging="328"/>
        <w:spacing w:after="0" w:line="282"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Payout Ratios to Advisors </w:t>
      </w:r>
      <w:r>
        <w:rPr>
          <w:rFonts w:ascii="Arial" w:cs="Arial" w:eastAsia="Arial" w:hAnsi="Arial"/>
          <w:sz w:val="16"/>
          <w:szCs w:val="16"/>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Among the five largest U.S. broker-dealers by number of advisors, we offer the highest average payout</w:t>
      </w:r>
      <w:r>
        <w:rPr>
          <w:rFonts w:ascii="Arial" w:cs="Arial" w:eastAsia="Arial" w:hAnsi="Arial"/>
          <w:sz w:val="18"/>
          <w:szCs w:val="18"/>
          <w:i w:val="1"/>
          <w:iCs w:val="1"/>
          <w:color w:val="auto"/>
        </w:rPr>
        <w:t xml:space="preserve"> </w:t>
      </w:r>
      <w:r>
        <w:rPr>
          <w:rFonts w:ascii="Arial" w:cs="Arial" w:eastAsia="Arial" w:hAnsi="Arial"/>
          <w:sz w:val="18"/>
          <w:szCs w:val="18"/>
          <w:color w:val="auto"/>
        </w:rPr>
        <w:t>ratios to our advisors.</w:t>
      </w:r>
    </w:p>
    <w:p>
      <w:pPr>
        <w:spacing w:after="0" w:line="126"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combination of our ability to reinvest in our business and maintain highly competitive payout ratios has enabled us to attract and retain advisors. This, in turn, has driven our growth and led to a continuous cycle of reinvestment that reinforces our established scale advantage.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Unique Value Proposition</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We deliver a comprehensive and integrated suite of products and services to support the practices of our independent advisors. We believe we are the only institution that offers a lower-conflict, open architecture, and scalable platform. The benefits of our purchasing power lead to high average payouts and greater economics to our advisors. Our platform also creates an entrepreneurial opportunity that empowers independent advisors to build equity in their businesses. This generates a significant opportunity to attract and retain highly qualified advisors who are seeking independence.</w:t>
      </w:r>
    </w:p>
    <w:p>
      <w:pPr>
        <w:spacing w:after="0" w:line="20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provide comprehensive solutions to financial institutions, such as regional banks, credit unions, and insurers who seek to provide a broad array of services for their clients. We believe many institutions find the technology, infrastructure, and regulatory requirements associated with delivering financial advice to be cost-prohibitive. The solutions we provide enable financial advisors at these institutions to deliver their services on a cost-effective basis.</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52"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Flexibility of Our Business Model</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Our business model allows our advisors the freedom to choose how they conduct their business, which helps us attract and retain advisors from multiple channels, including wirehouses, regional broker-dealers, and other independent broker-dealers. Our accommodating platform serves a variety of independent advisor models, including independent financial advisors, RIAs, and Independent RIAs. The flexibility of our business model makes it easy for our advisors to transition among independent advisor models and product mix as their business evolves and preferences change within the market. Our business model provides advisors with a multitude of customizable service and technology offerings, which allows them to increase their efficiency, focus on their clients and grow their practice.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Serve Approximately 90% of Retail Assets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historic focus has been on advisors who serve the mass-affluent market (investors with $100,000 or greater in investable assets) and believe there continues to be an attractive opportunity in this market. Although we have grown through our focus in this area, the flexibility of our platform allow us to expand our breadth of services to better support the high-net-worth market. As of December 31, 2014, our advisors supported accounts with more than $1 million in assets that in the aggregate represented $92.1 billion in advisory and brokerage assets, 19.4% of our total assets custodied. Our array of integrated technology and services can support advisors with significant production and can compete directly with wirehouses and custodians. We are able to support our advisors to meet the needs of their mass market clients up through the high-net-worth market, which, according to Cerulli Associates, accounts for approximately 90% of retail assets.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Growth</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expect to increase our revenue and profitability by benefiting from favorable industry trends and by executing strategies to accelerate our growth beyond that of the broader markets in which we operate.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Favorable Industry Trends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in Investable Assets</w:t>
      </w:r>
    </w:p>
    <w:p>
      <w:pPr>
        <w:spacing w:after="0" w:line="13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According to Cerulli Associates, over the past five years, assets under management for the market segments in the United States that we address grew 8.5% per year, while retirement assets are expected to grow 6.4% per year over the next five years (in part due to the retirement of the baby boomer generation and the resulting assets that are projected to flow out of retirement plans and into individual retirement accounts). In addition, IRA assets are projected to grow from $ 7.5 trillion as of 2014 to $10.6 trillion by 2018. In addition to the retirement of the baby boomer generation, there is a general need in the United States for greater and smarter retirement savings as well as increased regulatory pressures on 401(k) plan sponsors.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64135</wp:posOffset>
            </wp:positionV>
            <wp:extent cx="5120005" cy="2058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2000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231F20"/>
        </w:rPr>
        <w:t xml:space="preserve">The </w:t>
      </w:r>
      <w:r>
        <w:rPr>
          <w:rFonts w:ascii="Arial" w:cs="Arial" w:eastAsia="Arial" w:hAnsi="Arial"/>
          <w:sz w:val="16"/>
          <w:szCs w:val="16"/>
          <w:color w:val="000000"/>
        </w:rPr>
        <w:t>Cerulli Report: The State of U.S. Retail and Institutional Asset Management 2014.</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Cerulli Report: U.S. Retirement Markets 2014: Sizing Opportunities in Private and Public Retirement Plans.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3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Increasing Demand for Independent Financial Advice</w:t>
      </w:r>
    </w:p>
    <w:p>
      <w:pPr>
        <w:spacing w:after="0" w:line="243"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Retail investors, particularly in the mass-affluent market, are increasingly seeking financial advice from independent sources. We are highly focused on helping independent advisors meet the needs of the mass-affluent market, which constitutes a significant and underserved portion of investable assets, in part because wirehouses have not typically focused on this space.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 Migration to Independence</w:t>
      </w:r>
    </w:p>
    <w:p>
      <w:pPr>
        <w:spacing w:after="0" w:line="24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Independent channels continue to gain market share from captive channels. We believe that we are not just a beneficiary of this secular shift, but an active catalyst in the movement to independence. There is an increased shift towards advisors seeking complete independence by forming an RIA and registering directly with the SEC. However, these advisors are generally interested in retaining assets in brokerage accounts. This shift is leading to significant growth in the number of our Independent RIA advisors.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Macroeconomic Trends</w:t>
      </w:r>
    </w:p>
    <w:p>
      <w:pPr>
        <w:spacing w:after="0" w:line="243"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While the current macroeconomic environment exhibits short-term volatility, we anticipate an appreciation in asset prices and a rise in interest rates over the long term. We expect that our business will benefit from growth in advisory and brokerage assets as well as increasing interest rates.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Executing Our 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Attracting New Advisors to Our Platform</w:t>
      </w:r>
    </w:p>
    <w:p>
      <w:pPr>
        <w:spacing w:after="0" w:line="13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We intend to grow the number of advisors who are served by our platform — either those who are independent or who are aligned with financial institutions. We have a 4.8% market share of the approximately 290,000 financial advisors in the United States, according to Cerulli Associates, and we believe that we have the ability to attract seasoned advisors of any practice size and from any channel, including wirehouses, regional broker-dealers and other independent broker-dealers.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Channel</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Advisors</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Market Share</w:t>
            </w: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Independent Broker-Dealer(1)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67,290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23.5%</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Insurance Broker-Dealer</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74,804</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26.1%</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Wirehouse</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46,594</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16.3%</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Regional Broker-Dealer</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29,955</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10.5%</w:t>
            </w:r>
          </w:p>
        </w:tc>
      </w:tr>
      <w:tr>
        <w:trPr>
          <w:trHeight w:val="28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RIA(1)</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28,528</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9.9%</w:t>
            </w:r>
          </w:p>
        </w:tc>
      </w:tr>
      <w:tr>
        <w:trPr>
          <w:trHeight w:val="260"/>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Bank Broker-Dealer</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14,332</w:t>
            </w:r>
          </w:p>
        </w:tc>
        <w:tc>
          <w:tcPr>
            <w:tcW w:w="10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5.0%</w:t>
            </w:r>
          </w:p>
        </w:tc>
      </w:tr>
      <w:tr>
        <w:trPr>
          <w:trHeight w:val="273"/>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Dually registered RIAs(1)</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24,825</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8.7%</w:t>
            </w:r>
          </w:p>
        </w:tc>
      </w:tr>
      <w:tr>
        <w:trPr>
          <w:trHeight w:val="240"/>
        </w:trPr>
        <w:tc>
          <w:tcPr>
            <w:tcW w:w="812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286,328</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100.0%</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w:t>
      </w:r>
    </w:p>
    <w:p>
      <w:pPr>
        <w:ind w:left="340" w:right="560" w:hanging="332"/>
        <w:spacing w:after="0" w:line="260"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24,825 advisors classified as "dually registered RIAs" are advisors who are both licensed through independent broker-dealers and registered as investment advisors.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Productivity of Existing Advisor Base</w:t>
      </w:r>
    </w:p>
    <w:p>
      <w:pPr>
        <w:spacing w:after="0" w:line="135"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productivity of advisors increases over time as we enable them to add new clients, gain shares of their clients’ investable assets, and expand their existing practices with additional advisors. We facilitate these productivity improvements by helping our advisors better manage their practices in an increasingly complex external environment, which results in assets per advisor improving over time.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Ramp-up of Newly-Attracted Advisors</w:t>
      </w:r>
    </w:p>
    <w:p>
      <w:pPr>
        <w:spacing w:after="0" w:line="243"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We primarily attract experienced advisors who have established practices. In our experience, it takes an average of four years for newly recruited advisors to fully re-establish their practices and associated revenues. This seasoning process creates accelerated growth of revenue from new advisors.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Expansions of our Product &amp; Service Offerings</w:t>
      </w:r>
    </w:p>
    <w:p>
      <w:pPr>
        <w:spacing w:after="0" w:line="135"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Through internal development, as well as synergies obtained from opportunistic acquisitions, we have expanded our capabilities and product and service offerings in order to ensure we continue to provide a premium platform for our advisors to grow and enhance the profitability of their businesses. Presented below are a few examples of our expanded capabilities and product and service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37730" cy="3893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3893185"/>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Account View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Advisor Essentials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Accessed from a computer, tablet, or smartphone, Account View is clients’ secure, convenient, 24-hour online access to their investment account information. The site gives clients the ability to access current market information and financial headlines, as well as export portfolio data for further analysis. Clients can also exchange secure messages, and manage their profile including password resets and paperless options.</w:t>
      </w:r>
    </w:p>
    <w:p>
      <w:pPr>
        <w:spacing w:after="0" w:line="4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 strategic educational curriculum designed to help advisors create and run a profitable and productive practice, this program is tailored for advisors new to the business, staff who are on a career path to become a financial advisor, or producers who have not yet reached a club level at LPL Financial. The curriculum will enhance effectiveness across client service, value proposition, and office management.</w:t>
      </w:r>
    </w:p>
    <w:p>
      <w:pPr>
        <w:spacing w:after="0" w:line="41" w:lineRule="exact"/>
        <w:rPr>
          <w:sz w:val="20"/>
          <w:szCs w:val="20"/>
          <w:color w:val="auto"/>
        </w:rPr>
      </w:pPr>
    </w:p>
    <w:p>
      <w:pPr>
        <w:sectPr>
          <w:pgSz w:w="11900" w:h="16838" w:orient="portrait"/>
          <w:cols w:equalWidth="0" w:num="2">
            <w:col w:w="1500" w:space="260"/>
            <w:col w:w="9580"/>
          </w:cols>
          <w:pgMar w:left="240" w:top="688" w:right="319" w:bottom="1440" w:gutter="0" w:footer="0" w:header="0"/>
          <w:type w:val="continuous"/>
        </w:sectPr>
      </w:pPr>
    </w:p>
    <w:p>
      <w:pPr>
        <w:spacing w:after="0" w:line="74" w:lineRule="exact"/>
        <w:rPr>
          <w:sz w:val="20"/>
          <w:szCs w:val="20"/>
          <w:color w:val="auto"/>
        </w:rPr>
      </w:pPr>
    </w:p>
    <w:p>
      <w:pPr>
        <w:ind w:left="40" w:right="40"/>
        <w:spacing w:after="0" w:line="286" w:lineRule="auto"/>
        <w:rPr>
          <w:sz w:val="20"/>
          <w:szCs w:val="20"/>
          <w:color w:val="auto"/>
        </w:rPr>
      </w:pPr>
      <w:r>
        <w:rPr>
          <w:rFonts w:ascii="Arial" w:cs="Arial" w:eastAsia="Arial" w:hAnsi="Arial"/>
          <w:sz w:val="16"/>
          <w:szCs w:val="16"/>
          <w:b w:val="1"/>
          <w:bCs w:val="1"/>
          <w:color w:val="auto"/>
        </w:rPr>
        <w:t>Enhanced Trading &amp; Rebalancing</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LPL Digital IQ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Resource Center</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LPL Financial Mobile</w:t>
      </w: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RetirementU</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Streamlined Office</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Arial" w:cs="Arial" w:eastAsia="Arial" w:hAnsi="Arial"/>
          <w:sz w:val="16"/>
          <w:szCs w:val="16"/>
          <w:color w:val="auto"/>
        </w:rPr>
        <w:t>The Enhanced Trading and Rebalancing provides an integrated single-platform solution to keep up with advisors’ fast pace of business demands. The trading platform provides advisors with the most efficient way to place trades on their advisory accounts. The rebalancing feature allows advisors to be more efficient and strategic by rebalancing accounts using custom models.</w:t>
      </w:r>
    </w:p>
    <w:p>
      <w:pPr>
        <w:spacing w:after="0" w:line="3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LPL Digital IQ is an interactive training program designed to make it simple for advisors to learn how to get started on social media and enhance their digital presence. The four levels of Digital IQ-Basics, Explorer, Master, and Elite-consist of video lessons that help advisors stay on the leading edge of client communications and one step ahead of the competition. The LPL Digital IQ program is ideal for advisors that need to learn the basics or the experienced social media user who wants to take digital marketing to an elite level.</w:t>
      </w:r>
    </w:p>
    <w:p>
      <w:pPr>
        <w:spacing w:after="0" w:line="4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Resource Center is an informational hub that provides advisors and staff with information and resources to efficiently operate and grow their business including news and alerts, operation procedures and forms, research, client acquisition and retention, practice management, and training.</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LPL Financial Mobile provides advisors with the ability to look up clients and associated Account View and Resource Center information. Advisors have access to client account, position, transaction and statement information. Advisors are able to stay current with easy-to-access market data, including stock quotes, indices, and headlines.</w:t>
      </w:r>
    </w:p>
    <w:p>
      <w:pPr>
        <w:spacing w:after="0" w:line="39"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A strategic educational curriculum that provides advisors and staff members with the training they need to access and effectively utilize retirement resources of LPL Financial. RetirementU helps to prepare administrative assistants to effectively support advisors providing investment policy development, compliance monitoring services for plan sponsors and research on retirement plans and asset managers.</w:t>
      </w:r>
    </w:p>
    <w:p>
      <w:pPr>
        <w:spacing w:after="0" w:line="41"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Suite of solutions, incorporating eSignature, Remote Deposit, and iDoc, that can save advisors time and money, and enhance their clients’ experience. eSignature allows advisors and their clients to provide electronic signatures on the most commonly used operational forms. Remote Deposit is a mobile solution that provides an easy, fast, convenient, and secure way to deposit client checks into LPL Financial accounts. iDoc acts as an online vault, in which advisors can store documents electronically and securely.</w:t>
      </w:r>
    </w:p>
    <w:p>
      <w:pPr>
        <w:spacing w:after="0" w:line="164" w:lineRule="exact"/>
        <w:rPr>
          <w:sz w:val="20"/>
          <w:szCs w:val="20"/>
          <w:color w:val="auto"/>
        </w:rPr>
      </w:pPr>
    </w:p>
    <w:p>
      <w:pPr>
        <w:sectPr>
          <w:pgSz w:w="11900" w:h="16838" w:orient="portrait"/>
          <w:cols w:equalWidth="0" w:num="2">
            <w:col w:w="1660" w:space="100"/>
            <w:col w:w="9580"/>
          </w:cols>
          <w:pgMar w:left="240" w:top="688" w:right="3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believe we offer a unique and dedicated value proposition to independent financial advisors and financial institutions. This value proposition is built upon the delivery of our services through our scale, independence, and integrated technology, the sum of which we believe is not replicated in the industry. As a result we believe that we do not have any direct competitors that offer our unique business model at the scale at which we offer it. For example, because we do not have any proprietary manufacturing products, we do not view firms that manufacture asset management products and other financial products as direct competitors.</w:t>
      </w:r>
    </w:p>
    <w:p>
      <w:pPr>
        <w:spacing w:after="0" w:line="206"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We compete to attract and retain experienced and productive advisors with a variety of financial firms. Within the independent channel, the industry is highly fragmented, comprised primarily of small regional firms that rely on third-party custodians and technology providers to support their operations. The captive wirehouse channel tends to consist of large nationwide firms with multiple lines of business that have a focus on the highly competitive high-net-worth investor market. Competitors in this channel include Morgan Stanley; Bank of America Merrill Lynch; UBS</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688" w:right="319" w:bottom="1440" w:gutter="0" w:footer="0" w:header="0"/>
          <w:type w:val="continuous"/>
        </w:sectPr>
      </w:pPr>
    </w:p>
    <w:bookmarkStart w:id="12" w:name="page13"/>
    <w:bookmarkEnd w:id="12"/>
    <w:p>
      <w:pPr>
        <w:jc w:val="both"/>
        <w:ind w:right="40"/>
        <w:spacing w:after="0" w:line="254" w:lineRule="auto"/>
        <w:rPr>
          <w:sz w:val="20"/>
          <w:szCs w:val="20"/>
          <w:color w:val="auto"/>
        </w:rPr>
      </w:pPr>
      <w:r>
        <w:rPr>
          <w:rFonts w:ascii="Arial" w:cs="Arial" w:eastAsia="Arial" w:hAnsi="Arial"/>
          <w:sz w:val="18"/>
          <w:szCs w:val="18"/>
          <w:color w:val="auto"/>
        </w:rPr>
        <w:t>Financial Services Inc.; and Wells Fargo Advisors, LLC. Competition for advisors also includes regional firms, such as Edward D. Jones &amp; Co., L.P. and Raymond James Financial Services, Inc. Independent RIAs, which are licensed directly with the SEC and not through a broker-dealer, may choose from a number of third-party firms to provide custodial services. Our significant competitors in this space include Charles Schwab &amp; Co., Fidelity Brokerage Services LLC, and TD Ameritrade.</w:t>
      </w:r>
    </w:p>
    <w:p>
      <w:pPr>
        <w:spacing w:after="0" w:line="2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Those competitors that do not offer a complete clearing solution for advisors are frequently supported by third-party clearing and custody oriented firms. Pershing LLC, a subsidiary of Bank of New York Mellon, National Financial Services LLC, a subsidiary of Fidelity Investments, and J.P. Morgan Clearing Corp., a subsidiary of J.P. Morgan Chase &amp; Co., offer custodial services and technology solutions to independent firms and RIAs that are not self-clearing. These clearing firms and their affiliates and other providers also offer an array of service, technology and reporting tools. Albridge Solutions, a subsidiary of Bank of New York Mellon, Advent Software, Inc., Envestnet, Inc., and Morningstar, Inc., provide an array of research, analytics and reporting solutions.</w:t>
      </w:r>
    </w:p>
    <w:p>
      <w:pPr>
        <w:spacing w:after="0" w:line="209" w:lineRule="exact"/>
        <w:rPr>
          <w:sz w:val="20"/>
          <w:szCs w:val="20"/>
          <w:color w:val="auto"/>
        </w:rPr>
      </w:pPr>
    </w:p>
    <w:p>
      <w:pPr>
        <w:jc w:val="both"/>
        <w:ind w:right="620" w:firstLine="486"/>
        <w:spacing w:after="0" w:line="256" w:lineRule="auto"/>
        <w:rPr>
          <w:sz w:val="20"/>
          <w:szCs w:val="20"/>
          <w:color w:val="auto"/>
        </w:rPr>
      </w:pPr>
      <w:r>
        <w:rPr>
          <w:rFonts w:ascii="Arial" w:cs="Arial" w:eastAsia="Arial" w:hAnsi="Arial"/>
          <w:sz w:val="18"/>
          <w:szCs w:val="18"/>
          <w:color w:val="auto"/>
        </w:rPr>
        <w:t>Our advisors compete for clients with financial advisors of brokerage firms, banks, insurance companies, asset management, and investment advisory firms. In addition, they also compete with a number of firms offering direct to investor on-line financial services and discount brokerage services, such as Charles Schwab &amp; Co. and Fidelity Brokerage Services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of December 31, 2014, we had 3,384 full-time employees. None of our employees is subject to collective bargaining agreements governing their employment with us. Our continued growth is dependent, in part, on our ability to be an employer of choice and an organization that recruits and retains talented employees who best fit our culture and business needs. We offer ongoing learning opportunities and programs that empower employees to grow in their professional development and careers. We provide comprehensive compensation and benefits packages, as well as financial education tools to assist our employees as they plan for their future. We give back to our local communities, encourage sustainability in our workplace, and embrace diversity and inclusion to appreciate the unique perspective and value that each of our employees brings based on their personal experiences. Through these initiatives, we work to help all employees be engaged and empowered.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3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financial services industry is subject to extensive regulation by U.S. federal, state, and international government agencies as well as various self-regulatory organizations. We take an active leadership role in the development of the rules and regulations that govern our industry. We have been investing in our compliance functions to monitor our adherence to the numerous legal and regulatory requirements applicable to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Regulation</w:t>
      </w:r>
    </w:p>
    <w:p>
      <w:pPr>
        <w:spacing w:after="0" w:line="13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LPL Financial is a broker-dealer registered with the SEC, a member of FINRA and various other self-regulatory organizations, and a participant in various clearing organizations including the Depository Trust Company, the National Securities Clearing Corporation, and the Options Clearing Corporation. LPL Financial is registered as a broker-dealer in each of the 50 states, the District of Columbia, Puerto Rico, and the U.S. Virgin Islands.</w:t>
      </w:r>
    </w:p>
    <w:p>
      <w:pPr>
        <w:spacing w:after="0" w:line="96"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Broker-dealers are subject to rules and regulations covering all aspects of the securities business, including sales and trading practices, public offerings, publication of research reports, use and safekeeping of clients’ funds and securities, capital adequacy, recordkeeping and reporting, and the conduct of directors, officers, and employees. Broker-dealers are also regulated by state securities administrators in those jurisdictions where they do business. Compliance with many of the rules and regulations applicable to us involves a number of risks because rules and regulations are subject to varying interpretations, among other reasons. Regulators make periodic examinations and review annual, monthly, and other reports on our operations, track record, and financial condition. Violations of rules and regulations governing a broker-dealer’s actions could result in censure, penalties and fines, the issuance of cease-and-desist orders, the suspension or expulsion from the securities industry of such broker-dealer, its financial advisor(s) or its officers or employees, or other similar adverse consequences. The rules of the Municipal Securities Rulemaking Board, which are enforced by the SEC and FINRA, apply to the municipal securities activities of LPL Financial.</w:t>
      </w:r>
    </w:p>
    <w:p>
      <w:pPr>
        <w:spacing w:after="0" w:line="104"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Our margin lending is regulated by the Federal Reserve Board’s restrictions on lending in connection with client purchases and short sales of securities, and FINRA rules also require our subsidiaries to impose maintenance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06" w:right="259" w:bottom="1440" w:gutter="0" w:footer="0" w:header="0"/>
        </w:sectPr>
      </w:pPr>
    </w:p>
    <w:bookmarkStart w:id="13" w:name="page14"/>
    <w:bookmarkEnd w:id="13"/>
    <w:p>
      <w:pPr>
        <w:ind w:right="120"/>
        <w:spacing w:after="0" w:line="262" w:lineRule="auto"/>
        <w:rPr>
          <w:sz w:val="20"/>
          <w:szCs w:val="20"/>
          <w:color w:val="auto"/>
        </w:rPr>
      </w:pPr>
      <w:r>
        <w:rPr>
          <w:rFonts w:ascii="Arial" w:cs="Arial" w:eastAsia="Arial" w:hAnsi="Arial"/>
          <w:sz w:val="18"/>
          <w:szCs w:val="18"/>
          <w:color w:val="auto"/>
        </w:rPr>
        <w:t>requirements based on the value of securities contained in margin accounts. In many cases, our margin policies are more stringent than these rules.</w:t>
      </w:r>
    </w:p>
    <w:p>
      <w:pPr>
        <w:spacing w:after="0" w:line="8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Significant new rules and regulations continue to arise as a result of the Dodd-Frank Wall Street Reform and Consumer Protection Act (the “Dodd-Frank Act”), which was enacted in July 2010. Provisions of the Dodd-Frank Act that may impact our business include, but are not limited to, the potential implementation of a more stringent fiduciary standard for broker-dealers and the potential establishment of a new self-regulatory organization for investment advisors. Compliance with these provisions is likely to result in increased costs. Moreover, to the extent the Dodd-Frank Act impacts the operations, financial condition, liquidity and capital requirements of financial institutions with whom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 Regulation</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As investment advisers registered with the SEC, our subsidiaries LPL Financial, IAG, and Fortigent, LLC are subject to the requirements of the Investment Advisers Act of 1940, as amended (the "Advisers Act"), and the regulations promulgated thereunder, including examination by the SEC’s staff. Such requirements relate to, among other things, fiduciary duties to clients, performance fees, maintaining an effective compliance program, solicitation arrangements, conflicts of interest, advertising, limitations on agency cross and principal transactions between the advisor and advisory clients, recordkeeping and reporting requirements, disclosure requirements, and general anti-fraud provisions.</w:t>
      </w:r>
    </w:p>
    <w:p>
      <w:pPr>
        <w:spacing w:after="0" w:line="9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laws and regulations could result in investigations, sanctions, profit disgorgement, fines or other similar consequences.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Plan Services Regulation</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Certain of our subsidiaries, including LPL Financial, Fortigent, PTC, IAG, and LPLIA, are subject to the Employee Retirement Income Security Act of 1974, as amended ("ERISA") and Section 4975 of the Internal Revenue Code (the "Code"), and to regulations promulgated under ERISA or the Code, insofar as they provide services with respect to plan clients, or otherwise deal with plan clients that are subject to ERISA or the Code. ERISA imposes certain duties on persons who are "fiduciaries" (as defined in Section 3(21) of ERISA) and prohibits certain transactions involving plans subject to ERISA and fiduciaries or other service providers to such plans. Non-compliance with these provisions may expose an ERISA fiduciary or other service provider to liability under ERISA, which may include monetary penalties as well as equitable remedies for the affected plan. Section 4975 of the Code prohibits certain transactions involving plans (as defined in Section 4975(e)(1), which includes individual retirement accounts and Keogh plans) and service providers, including fiduciaries, to such plans. Section 4975 imposes excise taxes for violations of these prohibitions.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and Futures Regulation</w:t>
      </w:r>
    </w:p>
    <w:p>
      <w:pPr>
        <w:spacing w:after="0" w:line="139" w:lineRule="exact"/>
        <w:rPr>
          <w:sz w:val="20"/>
          <w:szCs w:val="20"/>
          <w:color w:val="auto"/>
        </w:rPr>
      </w:pPr>
    </w:p>
    <w:p>
      <w:pPr>
        <w:jc w:val="both"/>
        <w:ind w:right="20" w:firstLine="486"/>
        <w:spacing w:after="0" w:line="274" w:lineRule="auto"/>
        <w:rPr>
          <w:sz w:val="20"/>
          <w:szCs w:val="20"/>
          <w:color w:val="auto"/>
        </w:rPr>
      </w:pPr>
      <w:r>
        <w:rPr>
          <w:rFonts w:ascii="Arial" w:cs="Arial" w:eastAsia="Arial" w:hAnsi="Arial"/>
          <w:sz w:val="17"/>
          <w:szCs w:val="17"/>
          <w:color w:val="auto"/>
        </w:rPr>
        <w:t>LPL Financial is registered as an introducing broker with the Commodity Futures Trading Commission (“CFTC”) and is a member of the National Futures Association (“NFA”). LPL Financial introduces commodities and futures products to ADM Investor Services, Inc. (“ADM”), and all commodities accounts and related client positions are held by ADM. LPL Financial is regulated by the CFTC and NFA. Violations of the rules of the CFTC and the NFA could result in remedial actions including fines, registration terminations, or revocations of exchange memberships.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Regulation</w:t>
      </w:r>
    </w:p>
    <w:p>
      <w:pPr>
        <w:spacing w:after="0" w:line="13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Through our subsidiary, PTC, we offer trust, investment management oversight and custodial services for estates and families. PTC is chartered as a non-depository national banking association. As a limited purpose national bank, PTC is regulated and regularly examined by the Office of the Comptroller of the Currency (“OCC”). PTC files reports with the OCC within 30 days after the conclusion of each calendar quarter. Because the powers of PTC are limited to providing fiduciary services and investment advice, it does not have the power or authority to accept deposits or make loans. For this reason, trust assets under PTC’s management are not insured by the FDIC.</w:t>
      </w:r>
    </w:p>
    <w:p>
      <w:pPr>
        <w:spacing w:after="0" w:line="9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Because of its limited purpose, PTC is not a “bank” as defined under the Bank Holding Company Act of 1956. Consequently, neither its immediate parent, PTC Holdings, Inc., nor its ultimate parent, LPLFH, is regulated by the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4" w:name="page15"/>
    <w:bookmarkEnd w:id="14"/>
    <w:p>
      <w:pPr>
        <w:ind w:right="20"/>
        <w:spacing w:after="0" w:line="252" w:lineRule="auto"/>
        <w:rPr>
          <w:sz w:val="20"/>
          <w:szCs w:val="20"/>
          <w:color w:val="auto"/>
        </w:rPr>
      </w:pPr>
      <w:r>
        <w:rPr>
          <w:rFonts w:ascii="Arial" w:cs="Arial" w:eastAsia="Arial" w:hAnsi="Arial"/>
          <w:sz w:val="18"/>
          <w:szCs w:val="18"/>
          <w:color w:val="auto"/>
        </w:rPr>
        <w:t>Board of Governors of the Federal Reserve System as a bank holding company. However, PTC is subject to regulation by the OCC and to various laws and regulations enforced by the OCC, such as capital adequacy, change of control restrictions and regulations governing fiduciary duties, conflicts of interest, self-dealing, and anti-money laundering. For example, the Change in Bank Control Act, as implemented by OCC supervisory policy, imposes restrictions on parties who wish to acquire a controlling interest in a limited purpose national bank such as PTC or the holding company of a limited purpose national bank such as LPL Financial Holdings Inc. In general, an acquisition of 10% or more of our common stock, or another acquisition of “control” as defined in OCC regulations, may require OCC approval. These laws and regulations are designed to serve specific bank regulatory and supervisory purposes and are not meant for the protection of PTC, LPL Financial, or their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FINRA, CFTC, and NFA have stringent rules and regulations with respect to the maintenance of specific levels of net capital by regulated entities. Generally, a broker-dealer’s net capital is calculated as net worth plus qualified subordinated debt less deductions for certain types of assets. The net capital rule under the Exchange Act requires that at least a minimum part of a broker-dealer’s assets be maintained in a relatively liquid form. LPL Financial is also subject to the NFA's financial requirements and is required to maintain net capital that is in excess of or equal to the greatest of the NFA's minimum financial requirements. Under these requirements, LPL Financial is currently required to maintain minimum net capital that is in excess of or equal to the minimum net capital calculated and required pursuant to the SEC's Uniform Net Capital Rule.</w:t>
      </w:r>
    </w:p>
    <w:p>
      <w:pPr>
        <w:spacing w:after="0" w:line="9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SEC, FINRA, CFTC, and NFA impose rules that require notification when net capital falls below certain predefined criteria. These broker-dealer capital rules also dictate the ratio of debt to equity in regulatory capital composition, and constrain the ability of a broker-dealer to expand its business under certain circumstances. If a broker-dealer fails to maintain the required net capital, it may be subject to suspension or revocation of registration by the applicable regulatory agency, and suspension or expulsion by these regulators ultimately could lead to the broker-dealer’s liquidation. Additionally, the net capital rule and certain FINRA rules impose requirements that may have the effect of prohibiting a broker-dealer from distributing or withdrawing capital, and that require prior notice to the SEC and FINRA for certain capital withdrawals. LPL Financial, which is subject to net capital rules has been, and currently is, in compliance with those rules and has net capital in excess of the minimum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Anti-Money Laundering and Sanctions Compliance</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USA PATRIOT Act of 2001 (the “PATRIOT Act”) contains anti-money laundering and financial transparency laws and mandates the implementation of various regulations applicable to broker-dealers, futures commission merchants and other financial services companies. Financial institutions subject to the PATRIOT Act generally must have anti-money laundering procedures in place, monitor for and report suspicious activity, implement specialized employee training programs, designate an anti-money laundering compliance officer, and are audited periodically by an independent party to test the effectiveness of compliance. In addition, sanctions administered by the U.S. Office of Foreign Asset Control prohibit U.S. persons from doing business with blocked persons and entities. We have established policies, procedures, and systems designed to comply with these regulations.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and Privacy</w:t>
      </w:r>
    </w:p>
    <w:p>
      <w:pPr>
        <w:spacing w:after="0" w:line="139" w:lineRule="exact"/>
        <w:rPr>
          <w:sz w:val="20"/>
          <w:szCs w:val="20"/>
          <w:color w:val="auto"/>
        </w:rPr>
      </w:pPr>
    </w:p>
    <w:p>
      <w:pPr>
        <w:jc w:val="both"/>
        <w:ind w:right="40" w:firstLine="486"/>
        <w:spacing w:after="0" w:line="254" w:lineRule="auto"/>
        <w:rPr>
          <w:sz w:val="20"/>
          <w:szCs w:val="20"/>
          <w:color w:val="auto"/>
        </w:rPr>
      </w:pPr>
      <w:r>
        <w:rPr>
          <w:rFonts w:ascii="Arial" w:cs="Arial" w:eastAsia="Arial" w:hAnsi="Arial"/>
          <w:sz w:val="18"/>
          <w:szCs w:val="18"/>
          <w:color w:val="auto"/>
        </w:rPr>
        <w:t>Regulatory activity in the areas of privacy and data protection continues to grow worldwide and is generally being driven by the growth of technology and related concerns about the rapid and widespread dissemination and use of information. To the extent they are applicable to us, we must comply with these federal and state information-related laws and regulations, including, for example, those in the United States, such as the 1999 Gramm-Leach-Bliley Act, SEC Regulation S-P, and the Fair Credit Reporting Act of 1970, as amended.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for the periods presented were derived from our operations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37" w:lineRule="exact"/>
        <w:rPr>
          <w:sz w:val="20"/>
          <w:szCs w:val="20"/>
          <w:color w:val="auto"/>
        </w:rPr>
      </w:pPr>
    </w:p>
    <w:p>
      <w:pPr>
        <w:ind w:right="60" w:firstLine="486"/>
        <w:spacing w:after="0" w:line="223" w:lineRule="auto"/>
        <w:rPr>
          <w:sz w:val="20"/>
          <w:szCs w:val="20"/>
          <w:color w:val="auto"/>
        </w:rPr>
      </w:pPr>
      <w:r>
        <w:rPr>
          <w:rFonts w:ascii="Arial" w:cs="Arial" w:eastAsia="Arial" w:hAnsi="Arial"/>
          <w:sz w:val="18"/>
          <w:szCs w:val="18"/>
          <w:color w:val="auto"/>
        </w:rPr>
        <w:t>Access Alts</w:t>
      </w:r>
      <w:r>
        <w:rPr>
          <w:rFonts w:ascii="Arial" w:cs="Arial" w:eastAsia="Arial" w:hAnsi="Arial"/>
          <w:sz w:val="21"/>
          <w:szCs w:val="21"/>
          <w:color w:val="auto"/>
          <w:vertAlign w:val="superscript"/>
        </w:rPr>
        <w:t>®</w:t>
      </w:r>
      <w:r>
        <w:rPr>
          <w:rFonts w:ascii="Arial" w:cs="Arial" w:eastAsia="Arial" w:hAnsi="Arial"/>
          <w:sz w:val="18"/>
          <w:szCs w:val="18"/>
          <w:color w:val="auto"/>
        </w:rPr>
        <w:t>, Access Overlay</w:t>
      </w:r>
      <w:r>
        <w:rPr>
          <w:rFonts w:ascii="Arial" w:cs="Arial" w:eastAsia="Arial" w:hAnsi="Arial"/>
          <w:sz w:val="21"/>
          <w:szCs w:val="21"/>
          <w:color w:val="auto"/>
          <w:vertAlign w:val="superscript"/>
        </w:rPr>
        <w:t>®</w:t>
      </w:r>
      <w:r>
        <w:rPr>
          <w:rFonts w:ascii="Arial" w:cs="Arial" w:eastAsia="Arial" w:hAnsi="Arial"/>
          <w:sz w:val="18"/>
          <w:szCs w:val="18"/>
          <w:color w:val="auto"/>
        </w:rPr>
        <w:t>, BranchNet</w:t>
      </w:r>
      <w:r>
        <w:rPr>
          <w:rFonts w:ascii="Arial" w:cs="Arial" w:eastAsia="Arial" w:hAnsi="Arial"/>
          <w:sz w:val="21"/>
          <w:szCs w:val="21"/>
          <w:color w:val="auto"/>
          <w:vertAlign w:val="superscript"/>
        </w:rPr>
        <w:t>®</w:t>
      </w:r>
      <w:r>
        <w:rPr>
          <w:rFonts w:ascii="Arial" w:cs="Arial" w:eastAsia="Arial" w:hAnsi="Arial"/>
          <w:sz w:val="18"/>
          <w:szCs w:val="18"/>
          <w:color w:val="auto"/>
        </w:rPr>
        <w:t>, DO IT SMARTER</w:t>
      </w:r>
      <w:r>
        <w:rPr>
          <w:rFonts w:ascii="Arial" w:cs="Arial" w:eastAsia="Arial" w:hAnsi="Arial"/>
          <w:sz w:val="21"/>
          <w:szCs w:val="21"/>
          <w:color w:val="auto"/>
          <w:vertAlign w:val="superscript"/>
        </w:rPr>
        <w:t>®</w:t>
      </w:r>
      <w:r>
        <w:rPr>
          <w:rFonts w:ascii="Arial" w:cs="Arial" w:eastAsia="Arial" w:hAnsi="Arial"/>
          <w:sz w:val="18"/>
          <w:szCs w:val="18"/>
          <w:color w:val="auto"/>
        </w:rPr>
        <w:t>, Fortigent</w:t>
      </w:r>
      <w:r>
        <w:rPr>
          <w:rFonts w:ascii="Arial" w:cs="Arial" w:eastAsia="Arial" w:hAnsi="Arial"/>
          <w:sz w:val="21"/>
          <w:szCs w:val="21"/>
          <w:color w:val="auto"/>
          <w:vertAlign w:val="superscript"/>
        </w:rPr>
        <w:t>®</w:t>
      </w:r>
      <w:r>
        <w:rPr>
          <w:rFonts w:ascii="Arial" w:cs="Arial" w:eastAsia="Arial" w:hAnsi="Arial"/>
          <w:sz w:val="18"/>
          <w:szCs w:val="18"/>
          <w:color w:val="auto"/>
        </w:rPr>
        <w:t>, LPL</w:t>
      </w:r>
      <w:r>
        <w:rPr>
          <w:rFonts w:ascii="Arial" w:cs="Arial" w:eastAsia="Arial" w:hAnsi="Arial"/>
          <w:sz w:val="21"/>
          <w:szCs w:val="21"/>
          <w:color w:val="auto"/>
          <w:vertAlign w:val="superscript"/>
        </w:rPr>
        <w:t>®</w:t>
      </w:r>
      <w:r>
        <w:rPr>
          <w:rFonts w:ascii="Arial" w:cs="Arial" w:eastAsia="Arial" w:hAnsi="Arial"/>
          <w:sz w:val="18"/>
          <w:szCs w:val="18"/>
          <w:color w:val="auto"/>
        </w:rPr>
        <w:t>, LPL Career Match</w:t>
      </w:r>
      <w:r>
        <w:rPr>
          <w:rFonts w:ascii="Arial" w:cs="Arial" w:eastAsia="Arial" w:hAnsi="Arial"/>
          <w:sz w:val="21"/>
          <w:szCs w:val="21"/>
          <w:color w:val="auto"/>
          <w:vertAlign w:val="superscript"/>
        </w:rPr>
        <w:t>®</w:t>
      </w:r>
      <w:r>
        <w:rPr>
          <w:rFonts w:ascii="Arial" w:cs="Arial" w:eastAsia="Arial" w:hAnsi="Arial"/>
          <w:sz w:val="18"/>
          <w:szCs w:val="18"/>
          <w:color w:val="auto"/>
        </w:rPr>
        <w:t>, LPL Financial</w:t>
      </w:r>
      <w:r>
        <w:rPr>
          <w:rFonts w:ascii="Arial" w:cs="Arial" w:eastAsia="Arial" w:hAnsi="Arial"/>
          <w:sz w:val="21"/>
          <w:szCs w:val="21"/>
          <w:color w:val="auto"/>
          <w:vertAlign w:val="superscript"/>
        </w:rPr>
        <w:t>®</w:t>
      </w:r>
      <w:r>
        <w:rPr>
          <w:rFonts w:ascii="Arial" w:cs="Arial" w:eastAsia="Arial" w:hAnsi="Arial"/>
          <w:sz w:val="18"/>
          <w:szCs w:val="18"/>
          <w:color w:val="auto"/>
        </w:rPr>
        <w:t>, the LPL Financial logo, LPL Partners Program</w:t>
      </w:r>
      <w:r>
        <w:rPr>
          <w:rFonts w:ascii="Arial" w:cs="Arial" w:eastAsia="Arial" w:hAnsi="Arial"/>
          <w:sz w:val="21"/>
          <w:szCs w:val="21"/>
          <w:color w:val="auto"/>
          <w:vertAlign w:val="superscript"/>
        </w:rPr>
        <w:t>®</w:t>
      </w:r>
      <w:r>
        <w:rPr>
          <w:rFonts w:ascii="Arial" w:cs="Arial" w:eastAsia="Arial" w:hAnsi="Arial"/>
          <w:sz w:val="18"/>
          <w:szCs w:val="18"/>
          <w:color w:val="auto"/>
        </w:rPr>
        <w:t>, Manager Access Network</w:t>
      </w:r>
      <w:r>
        <w:rPr>
          <w:rFonts w:ascii="Arial" w:cs="Arial" w:eastAsia="Arial" w:hAnsi="Arial"/>
          <w:sz w:val="21"/>
          <w:szCs w:val="21"/>
          <w:color w:val="auto"/>
          <w:vertAlign w:val="superscript"/>
        </w:rPr>
        <w:t>®</w:t>
      </w:r>
      <w:r>
        <w:rPr>
          <w:rFonts w:ascii="Arial" w:cs="Arial" w:eastAsia="Arial" w:hAnsi="Arial"/>
          <w:sz w:val="18"/>
          <w:szCs w:val="18"/>
          <w:color w:val="auto"/>
        </w:rPr>
        <w:t>, Manager Access Select</w:t>
      </w:r>
      <w:r>
        <w:rPr>
          <w:rFonts w:ascii="Arial" w:cs="Arial" w:eastAsia="Arial" w:hAnsi="Arial"/>
          <w:sz w:val="21"/>
          <w:szCs w:val="21"/>
          <w:color w:val="auto"/>
          <w:vertAlign w:val="superscript"/>
        </w:rPr>
        <w:t>®</w:t>
      </w:r>
      <w:r>
        <w:rPr>
          <w:rFonts w:ascii="Arial" w:cs="Arial" w:eastAsia="Arial" w:hAnsi="Arial"/>
          <w:sz w:val="18"/>
          <w:szCs w:val="18"/>
          <w:color w:val="auto"/>
        </w:rPr>
        <w:t>, OMP</w:t>
      </w:r>
      <w:r>
        <w:rPr>
          <w:rFonts w:ascii="Arial" w:cs="Arial" w:eastAsia="Arial" w:hAnsi="Arial"/>
          <w:sz w:val="21"/>
          <w:szCs w:val="21"/>
          <w:color w:val="auto"/>
          <w:vertAlign w:val="superscript"/>
        </w:rPr>
        <w:t>®</w:t>
      </w:r>
      <w:r>
        <w:rPr>
          <w:rFonts w:ascii="Arial" w:cs="Arial" w:eastAsia="Arial" w:hAnsi="Arial"/>
          <w:sz w:val="18"/>
          <w:szCs w:val="18"/>
          <w:color w:val="auto"/>
        </w:rPr>
        <w:t>, National Retirement Partners</w:t>
      </w:r>
      <w:r>
        <w:rPr>
          <w:rFonts w:ascii="Arial" w:cs="Arial" w:eastAsia="Arial" w:hAnsi="Arial"/>
          <w:sz w:val="21"/>
          <w:szCs w:val="21"/>
          <w:color w:val="auto"/>
          <w:vertAlign w:val="superscript"/>
        </w:rPr>
        <w:t>®</w:t>
      </w:r>
      <w:r>
        <w:rPr>
          <w:rFonts w:ascii="Arial" w:cs="Arial" w:eastAsia="Arial" w:hAnsi="Arial"/>
          <w:sz w:val="18"/>
          <w:szCs w:val="18"/>
          <w:color w:val="auto"/>
        </w:rPr>
        <w:t>, the National Retirement Partners logo, Veritat Advisors</w:t>
      </w:r>
      <w:r>
        <w:rPr>
          <w:rFonts w:ascii="Arial" w:cs="Arial" w:eastAsia="Arial" w:hAnsi="Arial"/>
          <w:sz w:val="21"/>
          <w:szCs w:val="21"/>
          <w:color w:val="auto"/>
          <w:vertAlign w:val="superscript"/>
        </w:rPr>
        <w:t>®</w:t>
      </w:r>
      <w:r>
        <w:rPr>
          <w:rFonts w:ascii="Arial" w:cs="Arial" w:eastAsia="Arial" w:hAnsi="Arial"/>
          <w:sz w:val="18"/>
          <w:szCs w:val="18"/>
          <w:color w:val="auto"/>
        </w:rPr>
        <w:t>, and the Veritat Advisor logo are our registered trademarks. ClientWorks and SponsorWorks are among our service marks.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06"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ability to attract and retain experienced and productive advisors.</w:t>
      </w:r>
    </w:p>
    <w:p>
      <w:pPr>
        <w:spacing w:after="0" w:line="247" w:lineRule="exact"/>
        <w:rPr>
          <w:sz w:val="20"/>
          <w:szCs w:val="20"/>
          <w:color w:val="auto"/>
        </w:rPr>
      </w:pPr>
    </w:p>
    <w:p>
      <w:pPr>
        <w:ind w:right="420" w:firstLine="486"/>
        <w:spacing w:after="0" w:line="253" w:lineRule="auto"/>
        <w:rPr>
          <w:sz w:val="20"/>
          <w:szCs w:val="20"/>
          <w:color w:val="auto"/>
        </w:rPr>
      </w:pPr>
      <w:r>
        <w:rPr>
          <w:rFonts w:ascii="Arial" w:cs="Arial" w:eastAsia="Arial" w:hAnsi="Arial"/>
          <w:sz w:val="18"/>
          <w:szCs w:val="18"/>
          <w:color w:val="auto"/>
        </w:rPr>
        <w:t>We derive a large portion of our revenues from commissions and fees generated by our advisors. Our ability to attract and retain experienced and productive advisors has contributed significantly to our growth and success, and our strategic plan is premised upon continued growth in the number of our advisors. If we fail to attract new advisors or to retain and motivate our current advisors, replace our advisors who retire, or assist our retiring advisors with transitioning their practices to existing advisors, or if advisor migration away from wirehouses and to independent channels decreases or slows, our business may suffer.</w:t>
      </w:r>
    </w:p>
    <w:p>
      <w:pPr>
        <w:spacing w:after="0" w:line="206"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market for experienced and productive advisors is highly competitive, and we devote significant resources to attracting and retaining the most qualified advisors. In attracting and retaining advisors, we compete directly with a variety of financial institutions such as wirehouses, regional broker-dealers, banks, insurance companies and other independent broker-dealers. If we are not successful in retaining highly qualified advisors, we may not be able to recover the expense involved in attracting and training these individuals. There can be no assurance that we will be successful in our efforts to attract and retain the advisors needed to achieve our growth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may be adversely affected by market fluctuations and other economic factors.</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Significant downturns and volatility in equity and other financial markets have had and could continue to have an adverse effect on our financial condition and results of operations.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economic and market factors can affect our commission and fee revenue. For example, a decrease in market levels can:</w:t>
      </w:r>
    </w:p>
    <w:p>
      <w:pPr>
        <w:spacing w:after="0" w:line="117" w:lineRule="exact"/>
        <w:rPr>
          <w:sz w:val="20"/>
          <w:szCs w:val="20"/>
          <w:color w:val="auto"/>
        </w:rPr>
      </w:pPr>
    </w:p>
    <w:p>
      <w:pPr>
        <w:ind w:left="66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new investments by both new and existing clients in financial products that are linked to the equity markets, such as variable life insurance, variable annuities, mutual funds, and managed accounts;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trading activity, thereby affecting our brokerage commissions and our transaction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value of advisory and brokerage assets, thereby reducing advisory fee revenue and asset-based fee income and</w:t>
      </w:r>
    </w:p>
    <w:p>
      <w:pPr>
        <w:spacing w:after="0" w:line="117"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motivate clients to withdraw funds from their accounts, reducing advisory and brokerage assets, advisory fee revenue, and asset-based fee income.</w:t>
      </w:r>
    </w:p>
    <w:p>
      <w:pPr>
        <w:spacing w:after="0" w:line="14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Other more specific trends may also affect our financial condition and results of operations, including, for example, changes in the mix of products preferred by investors may result in increases or decreases in our fee revenues associated with such products, depending on whether investors gravitate towards or away from such products. The timing of such trends, if any, and their potential impact on our financial condition and results of operations are beyond our control.</w:t>
      </w:r>
    </w:p>
    <w:p>
      <w:pPr>
        <w:spacing w:after="0" w:line="204"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In addition, because certain of our expenses are fixed, our ability to reduce them over short periods of time is limited, which could negatively impact our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interest rate changes could affect our profitability and financial condition.</w:t>
      </w:r>
    </w:p>
    <w:p>
      <w:pPr>
        <w:spacing w:after="0" w:line="247" w:lineRule="exact"/>
        <w:rPr>
          <w:sz w:val="20"/>
          <w:szCs w:val="20"/>
          <w:color w:val="auto"/>
        </w:rPr>
      </w:pPr>
    </w:p>
    <w:p>
      <w:pPr>
        <w:ind w:right="240" w:firstLine="486"/>
        <w:spacing w:after="0" w:line="269" w:lineRule="auto"/>
        <w:rPr>
          <w:sz w:val="20"/>
          <w:szCs w:val="20"/>
          <w:color w:val="auto"/>
        </w:rPr>
      </w:pPr>
      <w:r>
        <w:rPr>
          <w:rFonts w:ascii="Arial" w:cs="Arial" w:eastAsia="Arial" w:hAnsi="Arial"/>
          <w:sz w:val="17"/>
          <w:szCs w:val="17"/>
          <w:color w:val="auto"/>
        </w:rPr>
        <w:t>Our revenues are exposed to interest rate risk primarily from changes in fees payable to us from banks participating in our cash sweep programs, which are based on prevailing interest rates. In the current low interest rate environment, our revenue from our cash sweep programs has declined, and our revenue may decline further due to the expiration of contracts with favorable pricing terms, less favorable terms in future contracts with participants in our cash sweep programs, decreases in interest rates or clients moving assets out of our cash sweep programs. We may also be limited in the amount we can reduce interest rates payable to clients in our cash sweep programs and still offer a competitive return. A sustained low interest rate environment may have a negative impact upon our ability to negotiate contracts with new banks or renegotiate existing contracts on comparable terms with banks participating in our cash sweep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liquidity or access to capital could impair our business and financial condition.</w:t>
      </w:r>
    </w:p>
    <w:p>
      <w:pPr>
        <w:spacing w:after="0" w:line="139"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Liquidity, or ready access to funds, is essential to our business. We expend significant resources investing in our business, particularly with respect to our technology and service platforms. In addition, we must maintain certain levels of required capital. As a result, reduced levels of liquidity could have a significant negative effect on us. Some potential conditions that could negatively affect our liquidity include: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84" w:right="239" w:bottom="1440" w:gutter="0" w:footer="0" w:header="0"/>
        </w:sectPr>
      </w:pPr>
    </w:p>
    <w:bookmarkStart w:id="16" w:name="page17"/>
    <w:bookmarkEnd w:id="16"/>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illiquid or volatile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diminished access to debt or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cash or capital requirements; or</w:t>
      </w:r>
    </w:p>
    <w:p>
      <w:pPr>
        <w:spacing w:after="0" w:line="117"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penalties or fines, or adverse legal settlements or judgments (including, among others, risks associated with auction rate securities).</w:t>
      </w:r>
    </w:p>
    <w:p>
      <w:pPr>
        <w:spacing w:after="0" w:line="142"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The capital and credit markets continue to experience varying degrees of volatility and disruption. In some cases, the markets have exerted downward pressure on availability of liquidity and credit capacity for businesses similar to ours. Without sufficient liquidity, we could be required to curtail our operations, and our business would suffer.</w:t>
      </w:r>
    </w:p>
    <w:p>
      <w:pPr>
        <w:spacing w:after="0" w:line="20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our revolving credit facility, or uncommitted lines of credit at our broker-dealer subsidiary LPL Financial.</w:t>
      </w:r>
    </w:p>
    <w:p>
      <w:pPr>
        <w:spacing w:after="0" w:line="96"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In the event current resources are insufficient to satisfy our needs, we may need to rely on financing sources such as bank debt. The availability of additional financing will depend on a variety of factors such as:</w:t>
      </w:r>
    </w:p>
    <w:p>
      <w:pPr>
        <w:spacing w:after="0" w:line="3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availability of credit;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volume of trading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availability of credit to the financial services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credit ratings and credit capacity; and</w:t>
      </w:r>
    </w:p>
    <w:p>
      <w:pPr>
        <w:spacing w:after="0" w:line="117"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possibility that our lenders could develop a negative perception of our long-or short-term financial prospects if the level of our business activity decreases due to a market downturn. Similarly, our access to funds may be impaired if regulatory authorities or rating organizations take negative actions against us.</w:t>
      </w:r>
    </w:p>
    <w:p>
      <w:pPr>
        <w:spacing w:after="0" w:line="14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Disruptions, uncertainty or volatility in the capital and credit markets may also limit our access to capital required to operate our business. Such market conditions may limit our ability to satisfy statutory capital requirements, generate commission, fee and other market-related revenue to meet liquidity needs and access the capital necessary to grow our business. As such, we may be forced to delay raising capital, issue different types of capital than we would otherwise, less effectively deploy such capital or bear an unattractive cost of capital, which could decrease our profitability and significantly reduce our financial flexibility.</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If there is a default under the derivative instruments we use to hedge our foreign currency risk default, we may be exposed to risks we had sought to mitigate.</w:t>
      </w:r>
    </w:p>
    <w:p>
      <w:pPr>
        <w:spacing w:after="0" w:line="175"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We, from time to time, use derivative instruments to hedge our foreign currency risk. In particular, our agreement with a third-party service provider provides for an annual adjustment of the currency exchange rate between the U.S. dollar and the Indian rupee. We bear the risk of currency movement at each annual reset date, and the reset rate then applies for the subsequent 12-month period. To mitigate foreign currency risk arising from such annual adjustments, we use derivative financial instruments consisting solely of non-deliverable foreign currency contracts. However, if either we or our counterparties fail to honor our respective obligations under such derivative instruments, we could be subject to the risk of loss and our hedges of the foreign currency risk will be ineffective. That failure could have an adverse effect on our financial condition, results of operations, and cash flows that could be material.</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loss of our marketing relationships with manufacturers of financial products could harm our relationship with our advisors and, in turn, their clients.</w:t>
      </w:r>
    </w:p>
    <w:p>
      <w:pPr>
        <w:spacing w:after="0" w:line="175"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We operate on an open-architecture product platform offering no proprietary financial products. To help our advisors meet their clients’ needs with suitable investment options, we have relationships with most of the industry-leading providers of financial and insurance products. We have sponsorship agreements with some manufacturers of fixed and variable annuities and mutual funds that, subject to the survival of certain terms and conditions, may be terminated by the manufacturer upon notice. If we lose our relationships with one or more of these manufacturers, our ability to serve our advisors and, in turn, their clients, and our business may be materially adversely affected. As an example, recently certain variable annuity product sponsors have ceased offering and issuing new variable annuity contracts. If this trend continues, we could experience a loss in the revenue currently generated from the sale of such products. In addition, certain features of such contracts have been eliminated by variable annuity</w:t>
      </w:r>
    </w:p>
    <w:p>
      <w:pPr>
        <w:sectPr>
          <w:pgSz w:w="11900" w:h="16838" w:orient="portrait"/>
          <w:cols w:equalWidth="0" w:num="1">
            <w:col w:w="11380"/>
          </w:cols>
          <w:pgMar w:left="240" w:top="652" w:right="279" w:bottom="1440" w:gutter="0" w:footer="0" w:header="0"/>
        </w:sect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652" w:right="279" w:bottom="1440" w:gutter="0" w:footer="0" w:header="0"/>
          <w:type w:val="continuous"/>
        </w:sectPr>
      </w:pPr>
    </w:p>
    <w:bookmarkStart w:id="17" w:name="page18"/>
    <w:bookmarkEnd w:id="17"/>
    <w:p>
      <w:pPr>
        <w:ind w:right="140"/>
        <w:spacing w:after="0" w:line="262" w:lineRule="auto"/>
        <w:rPr>
          <w:sz w:val="20"/>
          <w:szCs w:val="20"/>
          <w:color w:val="auto"/>
        </w:rPr>
      </w:pPr>
      <w:r>
        <w:rPr>
          <w:rFonts w:ascii="Arial" w:cs="Arial" w:eastAsia="Arial" w:hAnsi="Arial"/>
          <w:sz w:val="18"/>
          <w:szCs w:val="18"/>
          <w:color w:val="auto"/>
        </w:rPr>
        <w:t>product sponsors. If this trend continues, the attractiveness of these products would be reduced, potentially reducing the revenue we currently generate from the sale of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as a result of the risks associated with acquisitions and investments.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have made acquisitions and investments in the past and may pursue further acquisitions and investments in the future. These transactions are accompanied by risks. For instance, an acquisition could have a negative effect on our financial and strategic position and reputation or the acquired business could fail to further our strategic goals. Moreover, we may not be able to successfully integrate acquired businesses into ours, and therefore we may not be able to realize the intended benefits from an acquisition. We may have a lack of experience in new markets, products or technologies brought on by the acquisition and we may have an initial dependence on unfamiliar supply or distribution partners. An acquisition may create an impairment of relationships with customers or suppliers of the acquired business or our advisors or suppliers. All of these and other potential risks may serve as a diversion of our management's attention from other business concerns, and any of these factors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Regulatory developments and our failure to comply with regulations could adversely affect our business by increasing our costs and exposure to litigation, affecting our reputation and making our business less profitable.</w:t>
      </w:r>
    </w:p>
    <w:p>
      <w:pPr>
        <w:spacing w:after="0" w:line="6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Our business is subject to extensive U.S. regulation and supervision, including securities and investment advisory services. The securities industry in the United States is subject to extensive regulation under both federal and state laws. Our broker-dealer subsidiary, LPL Financial, is:</w:t>
      </w:r>
    </w:p>
    <w:p>
      <w:pPr>
        <w:spacing w:after="0" w:line="4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registered as a broker-dealer with the SEC, each of the 50 states, and the District of Columbia, Puerto Rico and the U.S. Virgin Islands;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registered as an investment adviser with the SEC;</w:t>
      </w:r>
    </w:p>
    <w:p>
      <w:pPr>
        <w:spacing w:after="0" w:line="117"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member of FINRA and various other self-regulatory organizations, and a participant in various clearing organizations including the Depository Trust Company, the National Securities Clearing Corporation, and the Options Clearing Corporation;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regulated by the CFTC with respect to the futures and commodities trading activities it conducts as an introducing broker.</w:t>
      </w:r>
    </w:p>
    <w:p>
      <w:pPr>
        <w:spacing w:after="0" w:line="171"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Much of the regulation of broker-dealers has been delegated to self-regulatory organizations (“SROs”). The primary regulators of LPL Financial are FINRA, and for municipal securities, the Municipal Securities Rulemaking Board (“MSRB”). The CFTC has designated the National Futures Association ("NFA") as LPL Financial’s primary regulator for futures and commodities trading activities.</w:t>
      </w:r>
    </w:p>
    <w:p>
      <w:pPr>
        <w:spacing w:after="0" w:line="202"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SEC, FINRA, CFTC, OCC, various securities and futures exchanges and other U.S. governmental or regulatory authorities continuously review legislative and regulatory initiatives and may adopt new or revised laws, regulations, or interpretations. There can also be no assurance that other federal or state agencies will not attempt to further regulate our business. These legislative and regulatory initiatives may affect the way in which we conduct our business and may make our business model less profitable.</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ability to conduct business in the jurisdictions in which we currently operate depends on our compliance with the laws, rules and regulations promulgated by federal regulatory bodies and the regulatory authorities in each of the states and other jurisdictions in which we do business. Our ability to comply with all applicable laws, rules and regulations, and interpretations is largely dependent on our establishment and maintenance of compliance, audit and reporting systems and procedures, as well as our ability to attract and retain qualified compliance, audit and risk management personnel. While we have adopted policies and procedures reasonably designed to comply with all applicable laws, rules and regulations, and interpretations these systems and procedures may not be fully effective, and there can be no assurance that regulators or third-parties will not raise material issues with respect to our past or future compliance with applicable regulations.</w:t>
      </w:r>
    </w:p>
    <w:p>
      <w:pPr>
        <w:spacing w:after="0" w:line="20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Our profitability could also be affected by rules and regulations that impact the business and financial communities generally and, in particular, our advisors’ and their clients, including changes to the interpretation or enforcement of laws governing taxation (including the classification of independent contractor status of our advisors), trading, electronic commerce, privacy, and data protection. For instance, failure to comply with new rules and regulations, including in particular, rules and regulations that may arise pursuant to the Dodd-Frank Act, could subject us to regulatory actions or litigation and it could have a material adverse effect on our business, results of</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8" w:name="page19"/>
    <w:bookmarkEnd w:id="18"/>
    <w:p>
      <w:pPr>
        <w:ind w:right="80"/>
        <w:spacing w:after="0" w:line="252" w:lineRule="auto"/>
        <w:rPr>
          <w:sz w:val="20"/>
          <w:szCs w:val="20"/>
          <w:color w:val="auto"/>
        </w:rPr>
      </w:pPr>
      <w:r>
        <w:rPr>
          <w:rFonts w:ascii="Arial" w:cs="Arial" w:eastAsia="Arial" w:hAnsi="Arial"/>
          <w:sz w:val="18"/>
          <w:szCs w:val="18"/>
          <w:color w:val="auto"/>
        </w:rPr>
        <w:t>operations, cash flows, or financial condition. Provisions of the Dodd-Frank Act that may affect our business include, but are not limited to, the potential implementation of a more stringent fiduciary standard for broker-dealers and the potential establishment of a new SRO for investment advisors. Compliance with these provisions would likely result in increased costs. Moreover, to the extent the Dodd-Frank Act affects the operations, financial condition, liquidity and capital requirements of financial institutions with which we do business, those institutions may seek to pass on increased costs, reduce their capacity to transact, or otherwise present inefficiencies in their interactions with us. The ultimate impact that the Dodd-Frank Act will have on us, the financial industry and the economy cannot be known until all such applicable regulations called for under the Dodd-Frank Act have been finalized and implemented.</w:t>
      </w:r>
    </w:p>
    <w:p>
      <w:pPr>
        <w:spacing w:after="0" w:line="20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In addition to Dodd-Frank Act rule promulgation, other proposals are currently under consideration by federal banking regulators that may have an impact upon our profitability. Global regulators are engaged in ongoing efforts to build upon the Basel capital accords, which set new capital and liquidity standards for global banking institutions (“Basel III”). Basel III is designed to strengthen bank capital requirements and introduce new regulatory requirements on bank liquidity. In October 2013, U.S. banking regulators issued a final rule implementing Basel III in the U.S. In September 2014, U.S. banking regulators issued a final rule to implement the liquidity coverage ratio standards to address Basel III liquidity standards in the U.S. These new rules and proposals could negatively impact the attractiveness of cash deposits to banks who participate in our cash sweep programs, making it more difficult for us to renew existing contracts and negotiate new arrangements.</w:t>
      </w:r>
    </w:p>
    <w:p>
      <w:pPr>
        <w:spacing w:after="0" w:line="20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In addition, new rules and regulations could result in limitations on the lines of business we conduct, modifications to our business practices, increased capital requirements or additional costs. For example, the U.S. Department of Labor has stated that it plans to re-propose a rule that, if adopted as previously proposed, would broaden the circumstances under which we may be considered a “fiduciary” under Section 3(21) of ERISA and could affect the compensation we receive for retirement accounts.</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are subject to various regulatory requirements, which, if not complied with, could result in the restriction of the ongoing conduct or growth, or even liquidation of, parts of our business.</w:t>
      </w:r>
    </w:p>
    <w:p>
      <w:pPr>
        <w:spacing w:after="0" w:line="17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business activities that we may conduct are limited by various regulatory agencies. Our membership agreement with FINRA may be amended by application to include additional business activities. This application process is time-consuming and may not be successful. As a result, we may be prevented from entering new potentially profitable businesses in a timely manner, or at all. In addition, as a member of FINRA, we are subject to certain regulations regarding changes in control of our ownership. Rule 1017 of the National Association of Securities Dealers generally provides, among other things, that FINRA approval must be obtained in connection with any transaction resulting in a change in our equity ownership that results in one person or entity directly or indirectly owning or controlling 25% or more of our equity capital. Similarly, the OCC imposes advance approval requirements for a change of control, and control is presumed to exist if a person acquires 10% or more of our common stock. These regulatory approval processes can result in delay, increased costs or impose additional transaction terms in connection with a proposed change of control, such as capital contributions to the regulated entity. As a result of these regulations, our future efforts to sell shares or raise additional capital may be delayed or prohibited.</w:t>
      </w:r>
    </w:p>
    <w:p>
      <w:pPr>
        <w:spacing w:after="0" w:line="21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SEC, FINRA, CFTC, OCC, and NFA have extensive rules and regulations with respect to capital requirements. As a registered broker-dealer, LPL Financial is subject to Rule 15c3-1 (“Uniform Net Capital Rule”) under the Exchange Act, and related SRO requirements. The CFTC and NFA also impose net capital requirements. The Uniform Net Capital Rule specifies minimum capital requirements that are intended to ensure the general soundness and liquidity of broker-dealers. Because our holding companies are not registered broker-dealers, they are not subject to the Uniform Net Capital Rule. However, the ability of our holding companies to withdraw capital from our broker-dealer subsidiary could be restricted, which in turn could limit our ability to repay debt, redeem or purchase shares of our outstanding stock or pay dividends. A large operating loss or charge against net capital could adversely affect our ability to expand or even maintain our present levels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ERISA regulations could result in penalties against us.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ERISA and Sections 4975(c)(1)(A), (B), (C) and (D) of the Internal Revenue Code of 1986, as amended (the “Internal Revenue Code”), and to regulations promulgated thereunder, insofar as we act as a “fiduciary” under ERISA with respect to benefit plan clients or otherwise deal with benefit plan clients. ERISA and applicable provisions of the Internal Revenue Code impose duties on persons who are fiduciaries under ERISA, prohibit specified transactions involving ERISA plan clients [including, without limitation, employee benefit plans (as defined in Section 3(3) of ERISA), individual retirement accounts and Keogh plans] and impose monetary penalties for violations of these prohibitions. Our failure to comply with these requirements could result in significant penalties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sectPr>
      </w:pPr>
    </w:p>
    <w:bookmarkStart w:id="19" w:name="page20"/>
    <w:bookmarkEnd w:id="19"/>
    <w:p>
      <w:pPr>
        <w:ind w:right="440"/>
        <w:spacing w:after="0" w:line="262" w:lineRule="auto"/>
        <w:rPr>
          <w:sz w:val="20"/>
          <w:szCs w:val="20"/>
          <w:color w:val="auto"/>
        </w:rPr>
      </w:pPr>
      <w:r>
        <w:rPr>
          <w:rFonts w:ascii="Arial" w:cs="Arial" w:eastAsia="Arial" w:hAnsi="Arial"/>
          <w:sz w:val="18"/>
          <w:szCs w:val="18"/>
          <w:color w:val="auto"/>
        </w:rPr>
        <w:t>against us that could have a material adverse effect on our business (or, in a worst case, severely limit the extent to which we could act as fiduciaries for any plans under ERISA).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Competition</w:t>
      </w:r>
    </w:p>
    <w:p>
      <w:pPr>
        <w:spacing w:after="0" w:line="22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operate in an intensely competitive industry, which could cause us to lose advisors and their assets, thereby reducing our revenues and net income.</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subject to competition in all aspects of our business, including competition for our advisors and their clients, from:</w:t>
      </w:r>
    </w:p>
    <w:p>
      <w:pPr>
        <w:spacing w:after="0" w:line="6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management firms;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banks and thrift institutions;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clearing/custodial technology companies;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brokerage and investment banking firms.</w:t>
      </w:r>
    </w:p>
    <w:p>
      <w:pPr>
        <w:spacing w:after="0" w:line="17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Many of our competitors have substantially greater resources than we do and may offer a broader range of services, including financial products, across more markets. Some operate in a different regulatory environment than we do, which may give them certain competitive advantages in the services they offer. For example, certain of our competitors only provide clearing services and consequently would not have any supervision or oversight liability relating to actions of their financial advisors. We believe that competition within our industry will intensify as a result of consolidation and acquisition activity and because new competitors face few barriers to entry, which could adversely affect our ability to recruit new advisors and retain existing advisors.</w:t>
      </w:r>
    </w:p>
    <w:p>
      <w:pPr>
        <w:spacing w:after="0" w:line="2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If we fail to continue to attract highly qualified advisors or advisors licensed with us leave us to pursue other opportunities, or if current or potential clients of our advisors decide to use one of our competitors, we could face a significant decline in market share, commission and fee revenues and net income. If we are required to increase our payout of commissions and fees to our advisors in order to remain competitive, our net income could be significantly reduced.</w:t>
      </w:r>
    </w:p>
    <w:p>
      <w:pPr>
        <w:spacing w:after="0" w:line="18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Poor service or performance of the financial products that we offer or competitive pressures on pricing of such services or products may cause clients of our advisors to withdraw their assets on short notice.</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Clients of our advisors control their assets under management with us. Poor service or performance of the financial products that we offer or competitive pressures on pricing of such services or products may result in the loss of accounts. In addition, we must monitor the pricing of our services and financial products in relation to competitors and periodically may need to adjust commission and fee rates, interest rates on deposits and margin loans and other fee structures to remain competitive. Competition from other financial services firms, such as reduced commissions to attract clients or trading volume or higher deposit rates to attract client cash balances, could adversely impact our business. The decrease in revenue that could result from such an event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in attracting and retaining key talent.</w:t>
      </w:r>
    </w:p>
    <w:p>
      <w:pPr>
        <w:spacing w:after="0" w:line="247"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Our success and future growth depends upon our ability to attract and retain qualified employees. There is significant competition for qualified employees in the broker-dealer industry. Each of our executive officers is an employee at will and none has an employment agreement. We may not be able to retain our existing employees or fill new positions or vacancies created by expansion or turnover. The loss or unavailability of these individuals could have a material adverse effect on our business.</w:t>
      </w:r>
    </w:p>
    <w:p>
      <w:pPr>
        <w:spacing w:after="0" w:line="20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Moreover, our success depends upon the continued services of our key senior management personnel, including our executive officers and senior managers. The loss of one or more of our key senior management personnel, and the failure to recruit a suitable replacement or replacements, could have a material adverse effect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may limit our ability to use debt to fund future capital needs.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At December 31, 2014, we had total indebtedness of $1.6 billion. Our level of indebtedness could increase our vulnerability to general adverse economic and industry conditions. It could also require us to dedicate a substantial portion of our cash flow from operations to payments on our indebtedness, thereby reducing the availability of our cash flow to fund working capital, capital expenditures, and other general corporate purposes. In</w:t>
      </w:r>
    </w:p>
    <w:p>
      <w:pPr>
        <w:sectPr>
          <w:pgSz w:w="11900" w:h="16838" w:orient="portrait"/>
          <w:cols w:equalWidth="0" w:num="1">
            <w:col w:w="11420"/>
          </w:cols>
          <w:pgMar w:left="240" w:top="706"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706" w:right="239" w:bottom="1440" w:gutter="0" w:footer="0" w:header="0"/>
          <w:type w:val="continuous"/>
        </w:sectPr>
      </w:pPr>
    </w:p>
    <w:bookmarkStart w:id="20" w:name="page21"/>
    <w:bookmarkEnd w:id="20"/>
    <w:p>
      <w:pPr>
        <w:ind w:right="320"/>
        <w:spacing w:after="0" w:line="262" w:lineRule="auto"/>
        <w:rPr>
          <w:sz w:val="20"/>
          <w:szCs w:val="20"/>
          <w:color w:val="auto"/>
        </w:rPr>
      </w:pPr>
      <w:r>
        <w:rPr>
          <w:rFonts w:ascii="Arial" w:cs="Arial" w:eastAsia="Arial" w:hAnsi="Arial"/>
          <w:sz w:val="18"/>
          <w:szCs w:val="18"/>
          <w:color w:val="auto"/>
        </w:rPr>
        <w:t>addition, our level of indebtedness may limit our flexibility in planning for changes in our business and the industry in which we operate, and limit our ability to borrow additional funds.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or other future indebtedness, our creditors could, among other things, accelerate the maturity of our indebtedness.</w:t>
      </w:r>
    </w:p>
    <w:p>
      <w:pPr>
        <w:spacing w:after="0" w:line="20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Our senior secured credit agreement permits us to incur additional indebtedness. Although our senior secured credit agreement contains restrictions on the incurrence of additional indebtedness, these restrictions are subject to a number of significant qualifications and exceptions, and the indebtedness incurred in compliance with these restrictions could be substantial. Also, these restrictions do not prevent us from incurring obligations that do not constitute “indebtedness” as defined in our senior secured credit agreement. To the extent new debt or other obligations are added to our currently anticipated debt levels, the substantial indebtedness risks described above would increase.</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A credit rating downgrade would not impact the terms of our repayment obligations under our senior secured credit agreement. However, any such downgrade would negatively impact our ability to obtain comparable rates and terms on any future refinancing of our debt and could restrict our ability to incur additional indebtedness.</w:t>
      </w:r>
    </w:p>
    <w:p>
      <w:pPr>
        <w:spacing w:after="0" w:line="18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Restrictions under our senior secured credit agreement may prevent us from taking actions that we believe would be in the best interest of our business.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Our senior secured credit agreement contains customary restrictions on our activities, including covenants that may restrict us from:</w:t>
      </w:r>
    </w:p>
    <w:p>
      <w:pPr>
        <w:spacing w:after="0" w:line="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incurring additional indebtedness or issuing disqualified stock or preferred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paying dividends on, redeeming or repurchasing our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investments 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dividends or other payments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guaranteeing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engaging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consolidating, merging, or transferring all or substantially all of our assets.</w:t>
      </w:r>
    </w:p>
    <w:p>
      <w:pPr>
        <w:spacing w:after="0" w:line="171"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We are also required to meet specified leverage ratio and interest coverage ratio tests. These restrictions may prevent us from taking actions that we believe would be in the best interest of our business. Our ability to comply with these restrictive covenants will depend on our future performance, which may be affected by events beyond our control. If we violate any of these covenants and are unable to obtain waivers, we would be in default under our senior secured credit agreement and payment of the indebtedness could be accelerated. The acceleration of our indebtedness under our senior secured credit agreement may permit acceleration of indebtedness under other agreements that contain cross-default or cross-acceleration provisions. If our indebtedness is accelerated, we may not be able to repay that indebtedness or borrow sufficient funds to refinance it. Even if we are able to obtain new financing, it may not be on commercially reasonable terms or on terms that are acceptable to us. If our indebtedness is in default for any reason, our business could be materially and adversely affected. In addition, complying with these covenants may also cause us to take actions that are not favorable to holders of our common stock and may make it more difficult for us to successfully execute our business strategy and compete against companies that are not subject to such restrictions.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senior secured credit agreement could discourage an acquisition of us by a third party.</w:t>
      </w:r>
    </w:p>
    <w:p>
      <w:pPr>
        <w:spacing w:after="0" w:line="247"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Certain provisions of our senior secured credit agreement could make it more difficult or more expensive for a third party to acquire us, and any of our future debt agreements may contain similar provisions. Upon the occurrence of certain transactions constituting a change of control, all indebtedness under our senior secured credit agreement may be accelerated and become due and payable. A potential acquirer may not have sufficient financial resources to purchase our outstanding indebtedness in connection with a change of control.</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0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Our Technology</w:t>
      </w:r>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rely on technology in our business, and technology and execution failures could subject us to losses, litigation, and regulatory actions.</w:t>
      </w:r>
    </w:p>
    <w:p>
      <w:pPr>
        <w:spacing w:after="0" w:line="67" w:lineRule="exact"/>
        <w:rPr>
          <w:sz w:val="20"/>
          <w:szCs w:val="20"/>
          <w:color w:val="auto"/>
        </w:rPr>
      </w:pPr>
    </w:p>
    <w:p>
      <w:pPr>
        <w:jc w:val="both"/>
        <w:ind w:right="320" w:firstLine="486"/>
        <w:spacing w:after="0" w:line="256" w:lineRule="auto"/>
        <w:rPr>
          <w:sz w:val="20"/>
          <w:szCs w:val="20"/>
          <w:color w:val="auto"/>
        </w:rPr>
      </w:pPr>
      <w:r>
        <w:rPr>
          <w:rFonts w:ascii="Arial" w:cs="Arial" w:eastAsia="Arial" w:hAnsi="Arial"/>
          <w:sz w:val="18"/>
          <w:szCs w:val="18"/>
          <w:color w:val="auto"/>
        </w:rPr>
        <w:t>Our business relies extensively on electronic data processing and communications systems. In addition to better serving our advisors and their clients, the effective use of technology increases efficiency and enables firms like ours to reduce costs and support our regulatory compliance and reporting functions. Our continued success will depend, in part, upon:</w:t>
      </w:r>
    </w:p>
    <w:p>
      <w:pPr>
        <w:spacing w:after="0" w:line="4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maintain and upgrade the capability of our systems;</w:t>
      </w:r>
    </w:p>
    <w:p>
      <w:pPr>
        <w:spacing w:after="0" w:line="117"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address the needs of our advisors and their clients by using technology to provide products and services that satisfy their demands;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technology effectively to support our regulatory compliance and reporting functions;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skilled information technology employees.</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Extraordinary trading volumes, beyond reasonably foreseeable spikes in volumes, could cause our computer systems to operate at an unacceptably slow speed or even fail. Failure of our systems, which could result from these or other events beyond our control, or an inability to effectively upgrade those systems or implement new technology-driven products or services, could result in financial losses, unanticipated disruptions in service to clients, liability to our advisors' clients, regulatory sanctions and damage to our reputation.</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Although we take protective measures and endeavor to modify them as circumstances warrant, the computer systems, software and networks may be vulnerable to unauthorized access, human error, computer viruses, denial-of-service attacks, or other malicious code and other events that could impact the security, reliability, and availability of our systems. If one or more of these events occur, this could jeopardize our own, our advisors’ or their clients’ or counterparties’ confidential and other information processed, stored in and transmitted through our computer systems and networks, or otherwise cause interruptions or malfunctions in our own, our advisors’ or their clients’, our counterparties’ or third parties’ operations. We may be required to expend significant additional resources to modify our protective measures, to investigate and remediate vulnerabilities or other exposures or to make required notifications, and we may be subject to litigation, regulatory sanctions and financial losses that are either not insured or are not fully covered through any insurance we maintain. Cybersecurity requires ongoing investment and diligence against evolving threats. See also "</w:t>
      </w:r>
      <w:r>
        <w:rPr>
          <w:rFonts w:ascii="Arial" w:cs="Arial" w:eastAsia="Arial" w:hAnsi="Arial"/>
          <w:sz w:val="18"/>
          <w:szCs w:val="18"/>
          <w:i w:val="1"/>
          <w:iCs w:val="1"/>
          <w:color w:val="auto"/>
        </w:rPr>
        <w:t>Our networks may be vulnerable to security risks"</w:t>
      </w:r>
      <w:r>
        <w:rPr>
          <w:rFonts w:ascii="Arial" w:cs="Arial" w:eastAsia="Arial" w:hAnsi="Arial"/>
          <w:sz w:val="18"/>
          <w:szCs w:val="18"/>
          <w:color w:val="auto"/>
        </w:rPr>
        <w:t xml:space="preserv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securities settlement process exposes us to risks that may expose our advisors and us to adverse movements in price.</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LPL Financial, one of our subsidiaries, provides clearing services and trade processing for our advisors and their clients and certain financial institutions. Broker-dealers that clear their own trades are subject to substantially more regulatory requirements than brokers that outsource these functions to third-party providers. Errors in performing clearing functions, including clerical, technological and other errors related to the handling of funds and securities held by us on behalf of our advisors' clients, could lead to censures, fines or other sanctions imposed by applicable regulatory authorities as well as losses and liability in related lawsuits and proceedings brought by our advisors’ clients and others. Any unsettled securities transactions or wrongly executed transactions may expose our advisors and us to adverse movements in the prices of such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networks may be vulnerable to security risks.</w:t>
      </w:r>
    </w:p>
    <w:p>
      <w:pPr>
        <w:spacing w:after="0" w:line="24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The secure transmission of confidential information over public networks is a critical element of our operations. As part of our normal operations, we maintain and transmit confidential information about clients of our advisors as well as proprietary information relating to our business operations. The risks related to transmitting data and using service providers outside of and storing or processing data within our network are increasing based on escalating and malicious cyber activity, including activity that originates outside of the United States. Cyber attacks can be designed to collect information, manipulate or corrupt data, applications or accounts, and to disable the functioning or use of applications or technology assets.</w:t>
      </w:r>
    </w:p>
    <w:p>
      <w:pPr>
        <w:spacing w:after="0" w:line="20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Our application service provider systems maintain and process confidential data on behalf of advisors and their clients, some of which is critical to our advisors’ business operations. If our application service provider systems are disrupted or fail for any reason, or if our systems or facilities are infiltrated or damaged by unauthorized persons, our advisors could experience data loss, financial loss, harm to reputation and significant business interruption. In addition, vulnerabilities of our external service providers could pose security risks to client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84" w:right="259" w:bottom="1440" w:gutter="0" w:footer="0" w:header="0"/>
        </w:sectPr>
      </w:pPr>
    </w:p>
    <w:bookmarkStart w:id="22" w:name="page23"/>
    <w:bookmarkEnd w:id="22"/>
    <w:p>
      <w:pPr>
        <w:ind w:right="80"/>
        <w:spacing w:after="0" w:line="262" w:lineRule="auto"/>
        <w:rPr>
          <w:sz w:val="20"/>
          <w:szCs w:val="20"/>
          <w:color w:val="auto"/>
        </w:rPr>
      </w:pPr>
      <w:r>
        <w:rPr>
          <w:rFonts w:ascii="Arial" w:cs="Arial" w:eastAsia="Arial" w:hAnsi="Arial"/>
          <w:sz w:val="18"/>
          <w:szCs w:val="18"/>
          <w:color w:val="auto"/>
        </w:rPr>
        <w:t>information. If any such disruption or failure occurs, we may be exposed to unexpected liability, advisors' clients may withdraw their assets, our reputation may be tarnished and there could be a material adverse effect on our business.</w:t>
      </w:r>
    </w:p>
    <w:p>
      <w:pPr>
        <w:spacing w:after="0" w:line="88"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networks may be vulnerable to unauthorized access, computer viruses, and other security problems in the future. We rely on our advisors and employees to comply with our policies and procedures to safeguard confidential data. The failure of our advisors and employees to comply with such policies and procedures could result in the loss or wrongful use of their clients’ confidential information or other sensitive information. In addition, even if we and our advisors comply with our policies and procedures, persons who circumvent security measures could wrongfully use our confidential information or clients’ confidential information or cause interruptions or malfunctions in our operations. Cyber attacks can be designed to collect information, manipulate or corrupt data, applications or accounts, and to disable the functioning or use of applications or technology assets. Such activity could, among other things:</w:t>
      </w:r>
    </w:p>
    <w:p>
      <w:pPr>
        <w:spacing w:after="0" w:line="4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the termination of relationships with our advisors;</w:t>
      </w:r>
    </w:p>
    <w:p>
      <w:pPr>
        <w:spacing w:after="0" w:line="11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us to regulatory sanctions or burdens, based on state law or the authority of the SEC and FINRA to enforce regulations regarding business continuity planning;</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inaccurate financial data reporting;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63"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As malicious cyber activity escalates, including activity that originates outside of the United States, the risks we face relating to transmission of data and our use of service providers outside of our network, as well as the storing or processing of data within our network, intensify.</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Failure to maintain technological capabilities, flaws in existing technology, difficulties in upgrading our technology platform, or the introduction of a competitive platform could have a material adverse effect on our business.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trading and custody;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and internal financial processes and controls;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11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addition, our continued success depends on our ability to effectively adopt new or adapt existing technologies to meet client, industry and regulatory demands. We might be required to make significant capital expenditures to maintain competitive technology. For example, we believe that our technology platform is one of our competitive strengths, and our future success will depend in part on our ability to anticipate and adapt to technological advancements required to meet the changing demands of our advisors. The emergence of new industry standards and practices could render our existing systems obsolete or uncompetitive. Any upgrades or expansions may require significant expenditures of funds and may also cause us to suffer system degradations, outages and failures. There cannot be any assurance that we will have sufficient funds to adequately update and expand our networks, nor can there be any assurance that any upgrade or expansion attempts will be successful and accepted by our current and prospective advisors. If our technology systems were to fail and we were unable to recover in a timely way, we would be unable to fulfill critical business functions, which could lead to a loss of advisors and could harm our reputation. A technological breakdown could also interfere with our ability to comply with financial reporting and other regulatory requirements, exposing us to disciplinary action and to liability to our advisors and their clients. There cannot be any assurance that another company will not design a similar platform that affects our competitive advantage.</w:t>
      </w:r>
    </w:p>
    <w:p>
      <w:pPr>
        <w:spacing w:after="0" w:line="8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Inadequacy or disruption of our disaster recovery plans and procedures in the event of a catastrophe could adversely affect our business.</w:t>
      </w:r>
    </w:p>
    <w:p>
      <w:pPr>
        <w:spacing w:after="0" w:line="175"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We have made a significant investment in our infrastructure, and our operations are dependent on our ability to protect the continuity of our infrastructure against damage from catastrophe or natural disaster, breach of</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3" w:name="page24"/>
    <w:bookmarkEnd w:id="23"/>
    <w:p>
      <w:pPr>
        <w:spacing w:after="0" w:line="252" w:lineRule="auto"/>
        <w:rPr>
          <w:sz w:val="20"/>
          <w:szCs w:val="20"/>
          <w:color w:val="auto"/>
        </w:rPr>
      </w:pPr>
      <w:r>
        <w:rPr>
          <w:rFonts w:ascii="Arial" w:cs="Arial" w:eastAsia="Arial" w:hAnsi="Arial"/>
          <w:sz w:val="18"/>
          <w:szCs w:val="18"/>
          <w:color w:val="auto"/>
        </w:rPr>
        <w:t>security, loss of power, telecommunications failure, or other natural or man-made events. A catastrophic event could have a direct negative impact on us by adversely affecting our advisors, employees or facilities, or an indirect impact on us by adversely affecting the financial markets or the overall economy. While we have implemented business continuity and disaster recovery plans and maintain business interruption insurance, it is impossible to fully anticipate and protect against all potential catastrophes. If our business continuity and disaster recovery plans and procedures were disrupted or unsuccessful in the event of a catastrophe, we could experience a material adverse interruption of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outsourced service providers to perform technology, processing, and support functions.</w:t>
      </w:r>
    </w:p>
    <w:p>
      <w:pPr>
        <w:spacing w:after="0" w:line="301"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We rely on outsourced service providers to perform certain technology, processing and support functions. For example, we have an agreement with Thomson Reuters BETA Systems, a division of Thomson Reuters ("BETA Systems"), under which they provide us key operational support, including data processing services for securities transactions and back office processing support. Our use of third-party service providers may decrease our ability to control operating risks and information technology systems risks. Any significant failures by BETA Systems or our other service providers could cause us to sustain serious operational disruptions and incur losses and could harm our reputation. If we had to change these service providers unexpectedly, we would also experience a disruption to our business, and we cannot predict the costs or time that would be required to find alternative service providers. We cannot provide any assurance that the disruption caused by a significant failure by, or change in, our service providers would not have a material adverse effect on our business. We have transitioned additional business processes to third-party service providers in connection with the Service Value Commitment initiative, which increases our reliance on outsourced providers, including off-shore providers, and the related risks described above. For example, we rely on an off-shore service provider for functions related to cash management, account transfers, and document imaging, among others. To the extent third-party service providers are located in foreign jurisdictions, we are exposed to risks inherent in conducting business outside of the United States, including international economic and political conditions, and the additional costs associated with complying with foreign laws and fluctuations in currency values.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Generally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damage to our reputation could harm our business and lead to a loss of revenues and net income.</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have spent many years developing our reputation for integrity and superior client service, which is built upon our four pillars of support for our advisors: enabling technology, comprehensive clearing and compliance services, practice management programs and training, and independent research. Our ability to attract and retain advisors and employees is highly dependent upon external perceptions of our level of service, business practices and financial condition. Damage to our reputation could cause significant harm to our business and prospects and may arise from numerous sources, including:</w:t>
      </w:r>
    </w:p>
    <w:p>
      <w:pPr>
        <w:spacing w:after="0" w:line="9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or regulatory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failing to deliver minimum standards of service and quality;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failures;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unethical behavior and the misconduct of employees, advisors or counterparties.</w:t>
      </w:r>
    </w:p>
    <w:p>
      <w:pPr>
        <w:spacing w:after="0" w:line="171"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Negative perceptions or publicity regarding these matters could damage our reputation among existing and potential advisors and employees. Adverse developments with respect to our industry may also, by association, negatively impact our reputation or result in greater regulatory or legislative scrutiny or litigation against us. These occurrences could lead to loss of revenue and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litigation, arbitration actions, and governmental and SRO investigations.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We are subject to legal proceedings arising out of our business operations, including lawsuits, arbitration claims, regulatory, governmental or SRO subpoenas, investigations, and actions and other claims. Many of our legal claims are initiated by clients of our advisors and involve the purchase or sale of investment securities, but other claims may be asserted by regulatory authorities.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our investment advisory programs, we have fiduciary obligations that require us and our advisors to act in the best interests of our advisors' clients. We may face liabilities for actual or alleged breaches of legal duties to our advisors' clients, in respect of issues related to the suitability of the financial products we make available in our open architecture product platform or the investment advice of our advisors based on their clients' investment objectives (including, for example, alternative investments or exchange traded funds). We may also become subject to claims, allegations and legal proceedings that we infringe or misappropriate intellectual property or other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06" w:right="239" w:bottom="1440" w:gutter="0" w:footer="0" w:header="0"/>
        </w:sectPr>
      </w:pPr>
    </w:p>
    <w:bookmarkStart w:id="24" w:name="page25"/>
    <w:bookmarkEnd w:id="24"/>
    <w:p>
      <w:pPr>
        <w:ind w:right="160"/>
        <w:spacing w:after="0" w:line="253" w:lineRule="auto"/>
        <w:rPr>
          <w:sz w:val="20"/>
          <w:szCs w:val="20"/>
          <w:color w:val="auto"/>
        </w:rPr>
      </w:pPr>
      <w:r>
        <w:rPr>
          <w:rFonts w:ascii="Arial" w:cs="Arial" w:eastAsia="Arial" w:hAnsi="Arial"/>
          <w:sz w:val="18"/>
          <w:szCs w:val="18"/>
          <w:color w:val="auto"/>
        </w:rPr>
        <w:t>proprietary rights of others. In addition, we may be subject to legal proceedings related to employment matters, including wage and hour, discrimination or harassment claims. The outcome of any such actions, including regulatory proceedings, cannot be predicted, and a negative outcome in such a matter could result in substantial legal liability, regulatory fines or monetary penalties, censure, loss of intellectual property rights and injunctive or other equitable relief against us. Further, such outcome may cause us significant reputational harm and could have a material adverse effect on our business, results of operations, cash flows or financial condition.</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risk management policies and procedures may not be fully effective in mitigating our risk exposure in all market environments or against all types of risks.</w:t>
      </w:r>
    </w:p>
    <w:p>
      <w:pPr>
        <w:spacing w:after="0" w:line="175"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We have adopted policies and procedures to identify, monitor and manage our operational risk. These policies and procedures, however, may not be fully effective. Some of our risk evaluation methods depend upon information provided by others and public information regarding markets, clients or other matters that are otherwise accessible by us. In some cases, however, that information may not be accurate, complete or up-to-date. Also, because our advisors work in decentralized offices, additional risk management challenges may exist. In addition, our existing policies and procedures and staffing levels may be insufficient to support a significant increase in our advisor population; such an increase may require us to increase our costs in order to maintain our compliance and risk management obligations or put a strain on our existing policies and procedures as we evolve to support a larger advisor population. If our policies and procedures are not fully effective or we are not always successful in capturing all risks to which we are or may be exposed, we may suffer harm to our reputation or be subject to litigation or regulatory actions that could have a material adverse effect on our business and financial condition.</w:t>
      </w:r>
    </w:p>
    <w:p>
      <w:pPr>
        <w:spacing w:after="0" w:line="19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Misconduct and errors by our employees and our advisors, who operate in a decentralized environment, could harm our business.</w:t>
      </w:r>
    </w:p>
    <w:p>
      <w:pPr>
        <w:spacing w:after="0" w:line="247"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Misconduct and errors by our employees and our advisors could result in violations of law by us, regulatory sanctions or serious reputational or financial harm. We cannot always prevent misconduct and errors by our employees and our advisors, and the precautions we take to prevent and detect these activities may not be effective in all cases. Prevention and detection among our advisors, who are not our direct employees and some of whom tend to be located in small, decentralized offices, present additional challenges. There cannot be any assurance that misconduct and errors by our employees and advisors will not lead to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or expensive.</w:t>
      </w:r>
    </w:p>
    <w:p>
      <w:pPr>
        <w:spacing w:after="0" w:line="247"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We are subject to claims in the ordinary course of business. These claims may involve substantial amounts of money and involve significant defense costs. It is not always possible to prevent or detect activities giving rise to claims, and the precautions we take may not be effective in all cases.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maintain voluntary and required insurance coverage, including, among others, general liability, property, director and officer, excess-SIPC, business interruption, errors and omissions, excess entity errors and omissions and fidelity bond insurance. Recently, premium and deductible costs associated with certain insurance coverages have increased, coverage terms have become more restrictive and the number of insurers has decreased. While we endeavor to purchase coverage that is appropriate to our assessment of our risk, we are unable to predict with certainty the frequency, nature or magnitude of claims for direct or consequential damages. Our business may be negatively affected if in the future our insurance proves to be inadequate or unavailable. In addition, insurance claims may harm our reputation or divert management resources away from operating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federal income tax law could make some of the products distributed by our advisors less attractive to clients.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Some of the financial products distributed by our advisors, such as variable annuities, enjoy favorable treatment under current</w:t>
      </w:r>
    </w:p>
    <w:p>
      <w:pPr>
        <w:spacing w:after="0" w:line="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U.S. federal income tax law. Changes in U.S. federal income tax law, in particular with respect to variable annuity products or with respect to tax rates on capital gains or dividends, could make some of these products less attractive to clients and, as a result, could have a material adverse effect on our business,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we expect from our Service Value Commitment or other restructuring initiatives</w:t>
      </w:r>
      <w:r>
        <w:rPr>
          <w:rFonts w:ascii="Arial" w:cs="Arial" w:eastAsia="Arial" w:hAnsi="Arial"/>
          <w:sz w:val="18"/>
          <w:szCs w:val="18"/>
          <w:b w:val="1"/>
          <w:bCs w:val="1"/>
          <w:color w:val="auto"/>
        </w:rPr>
        <w:t>.</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Service Value Commitment initiative is an effort to position us for sustainable long-term growth by improving the service experience of our financial advisors and delivering efficiencies in our operating model. In connection with our Service Value Commitment initiative, we expected to reposition our labor force, allowing us to focus on our core strengths, and transition select non-advisor-facing functions to a leading global services provider. We have also</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06" w:right="2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announced plans to integrate the business of our subsidiary, Fortigent, into our broader institution services strategy. Our ability to realize the service improvements and efficiencies expected to result from the Service Value Commitment or other restructuring initiatives is subject to many risks, and no assurances can be given that we will achieve the expected results.</w:t>
      </w:r>
    </w:p>
    <w:p>
      <w:pPr>
        <w:spacing w:after="0" w:line="20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may be unable to execute our plans related to the Service Value Commitment or other restructuring initiatives, including plans to transform information technology systems and transition business processes to new service providers, or achieve our projected savings. Our ability to effectively implement our plans within expected costs and realize the expected benefits will depend upon a number of factors, including the finalization of our transition plans; our success in negotiating and developing commercial arrangements with third-party service providers that will enable us to realize the service improvements and efficiencies expected to result from the Service Value Commitment initiative; the performance of new service providers to which we transition business processes; our ability to control operating risks, information technology systems risks and sourcing risks; our success in reinvesting the savings arising from labor repositioning in our service and technology enhancements; time required to complete planned actions; absence of material issues associated with workforce reductions; avoidance of unexpected disruptions in service; and the retention of key employees involved in implementing the initiative. In addition, we may have to incur higher costs than currently anticipated to implement our Service Value Commitment or other restructuring initiatives, and the near-term goals of these strategic initiatives might not be completed on the contemplated timetable. Finally, our business is dynamic, and we may elect to incur incremental expenses from time to time to grow and better support our business that could partially offset the benefits of these strategic initiatives. A failure to implement our plans could have an adverse effect on our financial condition that could be material.</w:t>
      </w:r>
    </w:p>
    <w:p>
      <w:pPr>
        <w:spacing w:after="0" w:line="18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Our planned real estate development project in Fort Mill, South Carolina subjects us to financial risks, including risks related to construction and development costs</w:t>
      </w:r>
    </w:p>
    <w:p>
      <w:pPr>
        <w:spacing w:after="0" w:line="17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intend to develop office space on two undeveloped parcels of land in Fort Mill, South Carolina. We plan for this new office space, once completed, to serve as a consolidated regional campus to which employees will be relocated from several facilities that we currently lease in Charlotte, North Carolina. The initial phase of the project includes the construction of two buildings that will be owned by a third party and leased to LPL for a 20-year term. In contrast to a conventional build-to-suit lease, under which a developer constructs a building on a turnkey basis for a tenant, with the developer being the primary bearer of construction and development risk, the initial phase of our project has been structured as a credit tenant lease. Under this structure, the third party landlord will not actually develop the buildings or have any related maintenance obligations. Rather, the construction of the buildings will be delegated by the landlord to LPL, and the landlord will provide a capped allowance, expected to be approximately $112 million, to fund a portion of the construction costs. Following completion of construction, LPL will have sole responsibility for the maintenance and operation of the buildings, including taxes and insurance.</w:t>
      </w:r>
    </w:p>
    <w:p>
      <w:pPr>
        <w:spacing w:after="0" w:line="21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Although we believe that this structure will result in reduced financing costs for the project, LPL will be responsible development of the campus and will bear the risk of cost overruns, zoning issues, opposition to the project and construction delays, any of which could have a material adverse effect on our financial results and liquidity. LPL does not have prior experience with real estate developments under a credit tenant structure and will be highly dependent on a third party development consultant to manage the project successfully, including timely achievement of certain construction milestones. Failure to achieve those milestones will constitute a default under our agreements, which would provide the landlord with rights to require LPL to pay for all of the costs of the project, including acquisition and all development costs incurred to date, or the purchase of the property from the landlord. In addition to these risks, the accounting treatment of a credit tenant lease is complicated and may change in the future. Although we believe our lease qualifies as an operating lease under GAAP, we could be required to record a leased asset and a leased liability if GAAP changes as proposed in the 2013 Proposed Accounting Standards Update, “Leases” (Topic 842). Such a change could have a material adverse effect on our financial results for the period in which it were to occur.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TPG Capital may have the ability to influence the outcome of matters submitted for stockholder approval and may have interests that differ from those of our other stockholders.</w:t>
      </w:r>
    </w:p>
    <w:p>
      <w:pPr>
        <w:spacing w:after="0" w:line="17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As of December 31, 2014, TPG Capital owned approximately 13% of the outstanding shares of our common stock. So long as investment funds associated with or designated by TPG Capital continue to own a significant amount of the outstanding shares of our common stock, TPG Capital will continue to be able to influence our decisions, regardless of whether or not other stockholders believe that the transaction is in their own best interests.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6" w:name="page27"/>
    <w:bookmarkEnd w:id="26"/>
    <w:p>
      <w:pPr>
        <w:ind w:firstLine="486"/>
        <w:spacing w:after="0" w:line="274" w:lineRule="auto"/>
        <w:rPr>
          <w:sz w:val="20"/>
          <w:szCs w:val="20"/>
          <w:color w:val="auto"/>
        </w:rPr>
      </w:pPr>
      <w:r>
        <w:rPr>
          <w:rFonts w:ascii="Arial" w:cs="Arial" w:eastAsia="Arial" w:hAnsi="Arial"/>
          <w:sz w:val="17"/>
          <w:szCs w:val="17"/>
          <w:color w:val="auto"/>
        </w:rPr>
        <w:t>In addition, TPG Capital and its affiliates are in the business of making investments in companies and may, from time to time in the future, acquire interests in businesses that directly or indirectly compete with certain portions of our business. To the extent TPG Capital invests in such other businesses, TPG Capital may have differing interests than our other stockholders. TPG Capital may also pursue acquisition opportunities that may be complementary to our business and, as a result, those acquisition opportunities may not be available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investors.</w:t>
      </w:r>
    </w:p>
    <w:p>
      <w:pPr>
        <w:spacing w:after="0" w:line="13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the following factors (in addition to the other risk factors described in this section):</w:t>
      </w:r>
    </w:p>
    <w:p>
      <w:pPr>
        <w:spacing w:after="0" w:line="34" w:lineRule="exact"/>
        <w:rPr>
          <w:sz w:val="20"/>
          <w:szCs w:val="20"/>
          <w:color w:val="auto"/>
        </w:rPr>
      </w:pPr>
    </w:p>
    <w:p>
      <w:pPr>
        <w:ind w:left="660" w:right="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including with regard to interest rates or revenues associated with our ICA program;</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equity research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significant new services or products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changes to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commencement or outcome of litigation or regulatory procedures;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 valuation or earnings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 of our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legislation or regulatory policies, practices or 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7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In addition, the equity markets in general have experienced extreme price and volume fluctuations that have often been unrelated or disproportionate to the operating performance of the particular companies affected. These broad market and industry factors may materially harm the market price of our common stock irrespective of our operating performance. In addition, in the past, following periods of volatility in the overall market and the market price of a company’s securities, securities class action litigation has often been instituted against the affected company. This type of litigation, if instituted against us, could result in substantial costs and a diversion of our management’s attention and resources.</w:t>
      </w:r>
    </w:p>
    <w:p>
      <w:pPr>
        <w:spacing w:after="0" w:line="18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7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subsidiary.</w:t>
      </w:r>
    </w:p>
    <w:p>
      <w:pPr>
        <w:spacing w:after="0" w:line="18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future abilities to pay regular dividends to holders of our common stock or repurchase shares are subject to the discretion of our board of directors and will be limited by our ability to generate sufficient earnings and cash flows.</w:t>
      </w:r>
    </w:p>
    <w:p>
      <w:pPr>
        <w:spacing w:after="0" w:line="175"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On February 18, 2015, our board of directors declared a regular quarterly cash dividend of $0.25 per share on our outstanding common stock, payable on March 16, 2015. In addition, our board of directors from time to time authorizes us to repurchase shares of the Company’s issued and outstanding shares of common stock. The declaration and payment of any future quarterly cash dividend or any additional repurchase authorizations will be subject to the board of directors' continuing determination that the declaration of future dividends or repurchase of our shares are in the best interests of our stockholders and are in compliance with applicable law. Such determinations will depend upon a number of factors that the board of directors deems relevant, including future earnings, the success of our business activities, capital requirements, the general financial condition and future prospects of our business and general business conditions.</w:t>
      </w:r>
    </w:p>
    <w:p>
      <w:pPr>
        <w:spacing w:after="0" w:line="20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The future payment of dividends or repurchases of shares will also depend on our ability to generate earnings and cash flows. If we are unable to generate sufficient earnings and cash flows from our business, we may not be</w:t>
      </w:r>
    </w:p>
    <w:p>
      <w:pPr>
        <w:sectPr>
          <w:pgSz w:w="11900" w:h="16838" w:orient="portrait"/>
          <w:cols w:equalWidth="0" w:num="1">
            <w:col w:w="11400"/>
          </w:cols>
          <w:pgMar w:left="240" w:top="706" w:right="259"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706" w:right="259" w:bottom="1440" w:gutter="0" w:footer="0" w:header="0"/>
          <w:type w:val="continuous"/>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t>able to pay dividends on our common stock or repurchase additional shares. In addition, our ability to pay cash dividends on our common stock is dependent on the ability of our subsidiaries to pay dividends, including compliance with limitations under our senior secured credit agreement. Our broker-dealer subsidiary is subject to requirements of the SEC, FINRA, the CFTC, and other regulators relating to liquidity, capital standards, and the use of client funds and securities, which may limit funds available for the payment of dividends to us.</w:t>
      </w:r>
    </w:p>
    <w:p>
      <w:pPr>
        <w:spacing w:after="0" w:line="182"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could prevent or delay a change in control of our company.</w:t>
      </w:r>
    </w:p>
    <w:p>
      <w:pPr>
        <w:spacing w:after="0" w:line="301"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auto"/>
        </w:rPr>
        <w:t>Our certificate of incorporation and our bylaws contain certain provisions that may discourage, delay, or prevent a change in our management or control over us that stockholders may consider favorable, including the following:</w:t>
      </w:r>
    </w:p>
    <w:p>
      <w:pPr>
        <w:spacing w:after="0" w:line="304" w:lineRule="exact"/>
        <w:rPr>
          <w:sz w:val="20"/>
          <w:szCs w:val="20"/>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sole ability of the board of directors to fill a vacancy created by the expansion of the board of directors;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333"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and to take action by written consent;</w:t>
      </w:r>
    </w:p>
    <w:p>
      <w:pPr>
        <w:spacing w:after="0" w:line="333" w:lineRule="exact"/>
        <w:rPr>
          <w:rFonts w:ascii="Arial" w:cs="Arial" w:eastAsia="Arial" w:hAnsi="Arial"/>
          <w:sz w:val="18"/>
          <w:szCs w:val="18"/>
          <w:color w:val="auto"/>
        </w:rPr>
      </w:pPr>
    </w:p>
    <w:p>
      <w:pPr>
        <w:ind w:left="520" w:right="100" w:hanging="120"/>
        <w:spacing w:after="0" w:line="256"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approval of holders of at least two-thirds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310" w:lineRule="exact"/>
        <w:rPr>
          <w:rFonts w:ascii="Arial" w:cs="Arial" w:eastAsia="Arial" w:hAnsi="Arial"/>
          <w:sz w:val="18"/>
          <w:szCs w:val="18"/>
          <w:color w:val="auto"/>
        </w:rPr>
      </w:pPr>
    </w:p>
    <w:p>
      <w:pPr>
        <w:ind w:left="520" w:hanging="120"/>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required approval of holders of at least two-thirds of the shares entitled to vote at an election of the directors to remove directors; and</w:t>
      </w:r>
    </w:p>
    <w:p>
      <w:pPr>
        <w:spacing w:after="0" w:line="333" w:lineRule="exact"/>
        <w:rPr>
          <w:rFonts w:ascii="Arial" w:cs="Arial" w:eastAsia="Arial" w:hAnsi="Arial"/>
          <w:sz w:val="18"/>
          <w:szCs w:val="18"/>
          <w:color w:val="auto"/>
        </w:rPr>
      </w:pPr>
    </w:p>
    <w:p>
      <w:pPr>
        <w:ind w:left="520" w:hanging="120"/>
        <w:spacing w:after="0" w:line="256"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w:t>
      </w:r>
    </w:p>
    <w:p>
      <w:pPr>
        <w:spacing w:after="0" w:line="31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the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3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corporate offices are located in Boston, Massachusetts where we lease approximately 69,000 square feet of space under a lease agreement that expires on June 30, 2023, with two five-year extensions at our option; in San Diego, California where we lease approximately 420,000 square feet of office space, a facility we moved into during 2014, and which lease expires on April 30, 2029; in Charlotte, North Carolina where we lease a total of approximately 325,000 square feet of space in four facilities under lease agreements, of which one expires on October 31, 2016 and the three remaining lease agreements expire on February 28, 2017. In conjunction with moving into our new space in San Diego, California we sold approximately 4.4 acres of land in the third quarter of 2014 and, in a like-kind-exchange, we purchased approximately 11.6 acres of land in Fort Mill, South Carolina.</w:t>
      </w:r>
    </w:p>
    <w:p>
      <w:pPr>
        <w:spacing w:after="0" w:line="9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We entered into a new lease agreement on December 9, 2014, for approximately 450,000 square feet of office space in Fort Mill, South Carolina and plan to move our Charlotte offices into this location starting in late 2016.</w:t>
      </w:r>
    </w:p>
    <w:p>
      <w:pPr>
        <w:spacing w:after="0" w:line="196" w:lineRule="exact"/>
        <w:rPr>
          <w:sz w:val="20"/>
          <w:szCs w:val="20"/>
          <w:color w:val="auto"/>
        </w:rPr>
      </w:pPr>
    </w:p>
    <w:p>
      <w:pPr>
        <w:ind w:right="680" w:firstLine="486"/>
        <w:spacing w:after="0" w:line="291" w:lineRule="auto"/>
        <w:rPr>
          <w:sz w:val="20"/>
          <w:szCs w:val="20"/>
          <w:color w:val="auto"/>
        </w:rPr>
      </w:pPr>
      <w:r>
        <w:rPr>
          <w:rFonts w:ascii="Arial" w:cs="Arial" w:eastAsia="Arial" w:hAnsi="Arial"/>
          <w:sz w:val="17"/>
          <w:szCs w:val="17"/>
          <w:color w:val="auto"/>
        </w:rPr>
        <w:t>We also lease smaller administrative and operational offices in various locations throughout the U.S. We believe that our existing properties are adequate for the current operating requirements of our business and that additional space will be available as needed.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333333"/>
        </w:rPr>
        <w:t xml:space="preserve">We are involved from time to time in routine legal proceedings occurring in the ordinary course of business. In the opinion of management, there are no matters outstanding that would have a material adverse impact on our operations or financial condition. For a discussion of legal proceedings, see Note </w:t>
      </w:r>
      <w:r>
        <w:rPr>
          <w:rFonts w:ascii="Arial" w:cs="Arial" w:eastAsia="Arial" w:hAnsi="Arial"/>
          <w:sz w:val="18"/>
          <w:szCs w:val="18"/>
          <w:color w:val="000000"/>
        </w:rPr>
        <w:t>13</w:t>
      </w:r>
      <w:r>
        <w:rPr>
          <w:rFonts w:ascii="Arial" w:cs="Arial" w:eastAsia="Arial" w:hAnsi="Arial"/>
          <w:sz w:val="18"/>
          <w:szCs w:val="18"/>
          <w:color w:val="333333"/>
        </w:rPr>
        <w:t xml:space="preserve">. </w:t>
      </w:r>
      <w:r>
        <w:rPr>
          <w:rFonts w:ascii="Arial" w:cs="Arial" w:eastAsia="Arial" w:hAnsi="Arial"/>
          <w:sz w:val="18"/>
          <w:szCs w:val="18"/>
          <w:i w:val="1"/>
          <w:iCs w:val="1"/>
          <w:color w:val="333333"/>
        </w:rPr>
        <w:t>Commitments and Contingencies</w:t>
      </w:r>
      <w:r>
        <w:rPr>
          <w:rFonts w:ascii="Arial" w:cs="Arial" w:eastAsia="Arial" w:hAnsi="Arial"/>
          <w:sz w:val="18"/>
          <w:szCs w:val="18"/>
          <w:color w:val="333333"/>
        </w:rPr>
        <w:t>, within the notes to consolidated financial statements in this Annual Report on Form 10-K.</w:t>
      </w:r>
    </w:p>
    <w:p>
      <w:pPr>
        <w:sectPr>
          <w:pgSz w:w="11900" w:h="16838" w:orient="portrait"/>
          <w:cols w:equalWidth="0" w:num="1">
            <w:col w:w="11400"/>
          </w:cols>
          <w:pgMar w:left="240" w:top="706" w:right="259" w:bottom="1440" w:gutter="0" w:footer="0" w:header="0"/>
        </w:sect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706" w:right="2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738"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common stock is traded on the NASDAQ under the symbol “LPLA.” The closing sale price as of December 31, 2014 was $44.55 per share. As of that date there were 435 common stockholders of record based on information provided by our transfer agent. The number of stockholders of record does not reflect the number of individual or institutional stockholders that beneficially own the Company's stock because most stock is held in the name of nominees.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high and low sales prices for our common stock for the periods indicated, as reported by the NASDAQ.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prices reflect inter-dealer prices and do not include retail markups, markdowns, or commissions.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High</w:t>
            </w:r>
          </w:p>
        </w:tc>
        <w:tc>
          <w:tcPr>
            <w:tcW w:w="220" w:type="dxa"/>
            <w:vAlign w:val="bottom"/>
          </w:tcPr>
          <w:p>
            <w:pPr>
              <w:spacing w:after="0"/>
              <w:rPr>
                <w:sz w:val="19"/>
                <w:szCs w:val="19"/>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Low</w:t>
            </w:r>
          </w:p>
        </w:tc>
      </w:tr>
      <w:tr>
        <w:trPr>
          <w:trHeight w:val="216"/>
        </w:trPr>
        <w:tc>
          <w:tcPr>
            <w:tcW w:w="4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2014</w:t>
            </w:r>
          </w:p>
        </w:tc>
        <w:tc>
          <w:tcPr>
            <w:tcW w:w="8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8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26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46.06</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38.34</w:t>
            </w:r>
          </w:p>
        </w:tc>
      </w:tr>
      <w:tr>
        <w:trPr>
          <w:trHeight w:val="28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45.95</w:t>
            </w:r>
          </w:p>
        </w:tc>
      </w:tr>
      <w:tr>
        <w:trPr>
          <w:trHeight w:val="260"/>
        </w:trPr>
        <w:tc>
          <w:tcPr>
            <w:tcW w:w="9260" w:type="dxa"/>
            <w:vAlign w:val="bottom"/>
            <w:gridSpan w:val="3"/>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54.07</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45.34</w:t>
            </w:r>
          </w:p>
        </w:tc>
      </w:tr>
      <w:tr>
        <w:trPr>
          <w:trHeight w:val="280"/>
        </w:trPr>
        <w:tc>
          <w:tcPr>
            <w:tcW w:w="9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46.23</w:t>
            </w:r>
          </w:p>
        </w:tc>
      </w:tr>
      <w:tr>
        <w:trPr>
          <w:trHeight w:val="297"/>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2013</w:t>
            </w:r>
          </w:p>
        </w:tc>
        <w:tc>
          <w:tcPr>
            <w:tcW w:w="8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8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9220" w:type="dxa"/>
            <w:vAlign w:val="bottom"/>
            <w:gridSpan w:val="2"/>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47.53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36.82</w:t>
            </w:r>
          </w:p>
        </w:tc>
      </w:tr>
      <w:tr>
        <w:trPr>
          <w:trHeight w:val="280"/>
        </w:trPr>
        <w:tc>
          <w:tcPr>
            <w:tcW w:w="40" w:type="dxa"/>
            <w:vAlign w:val="bottom"/>
            <w:shd w:val="clear" w:color="auto" w:fill="CCEEFF"/>
          </w:tcPr>
          <w:p>
            <w:pPr>
              <w:spacing w:after="0"/>
              <w:rPr>
                <w:sz w:val="24"/>
                <w:szCs w:val="24"/>
                <w:color w:val="auto"/>
              </w:rPr>
            </w:pPr>
          </w:p>
        </w:tc>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36.58</w:t>
            </w:r>
          </w:p>
        </w:tc>
      </w:tr>
      <w:tr>
        <w:trPr>
          <w:trHeight w:val="260"/>
        </w:trPr>
        <w:tc>
          <w:tcPr>
            <w:tcW w:w="40" w:type="dxa"/>
            <w:vAlign w:val="bottom"/>
          </w:tcPr>
          <w:p>
            <w:pPr>
              <w:spacing w:after="0"/>
              <w:rPr>
                <w:sz w:val="22"/>
                <w:szCs w:val="22"/>
                <w:color w:val="auto"/>
              </w:rPr>
            </w:pPr>
          </w:p>
        </w:tc>
        <w:tc>
          <w:tcPr>
            <w:tcW w:w="9220" w:type="dxa"/>
            <w:vAlign w:val="bottom"/>
            <w:gridSpan w:val="2"/>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39.21</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31.59</w:t>
            </w:r>
          </w:p>
        </w:tc>
      </w:tr>
      <w:tr>
        <w:trPr>
          <w:trHeight w:val="280"/>
        </w:trPr>
        <w:tc>
          <w:tcPr>
            <w:tcW w:w="40" w:type="dxa"/>
            <w:vAlign w:val="bottom"/>
            <w:shd w:val="clear" w:color="auto" w:fill="CCEEFF"/>
          </w:tcPr>
          <w:p>
            <w:pPr>
              <w:spacing w:after="0"/>
              <w:rPr>
                <w:sz w:val="24"/>
                <w:szCs w:val="24"/>
                <w:color w:val="auto"/>
              </w:rPr>
            </w:pPr>
          </w:p>
        </w:tc>
        <w:tc>
          <w:tcPr>
            <w:tcW w:w="9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28.25</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3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Performance Graph</w:t>
      </w:r>
    </w:p>
    <w:p>
      <w:pPr>
        <w:spacing w:after="0" w:line="13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following graph compares the cumulative total stockholder return since November 18, 2010, the date our common stock began trading on the NASDAQ, with the Standard &amp; Poor’s 500 Financial Sector Index (the "S&amp;P 500 Financial") and the Dow Jones U.S. Financial Services Index (the "Dow Jones Financial"). The graph assumes that the value of the investment in our common stock, the S&amp;P 500 Financial, and the Dow Jones Financial was $100 on November 18, 2010 and assumes the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576"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Cash dividends declared per share of common stock and total cash dividends paid during each quarter for the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 were as follows (in millions, except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6"/>
                <w:szCs w:val="16"/>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Share Declared</w:t>
            </w: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Dividend Paid</w:t>
            </w:r>
          </w:p>
        </w:tc>
      </w:tr>
      <w:tr>
        <w:trPr>
          <w:trHeight w:val="216"/>
        </w:trPr>
        <w:tc>
          <w:tcPr>
            <w:tcW w:w="4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2014</w:t>
            </w:r>
          </w:p>
        </w:tc>
        <w:tc>
          <w:tcPr>
            <w:tcW w:w="8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r>
      <w:tr>
        <w:trPr>
          <w:trHeight w:val="260"/>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Fourth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23.5</w:t>
            </w:r>
          </w:p>
        </w:tc>
      </w:tr>
      <w:tr>
        <w:trPr>
          <w:trHeight w:val="28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r>
      <w:tr>
        <w:trPr>
          <w:trHeight w:val="260"/>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Second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0.240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28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w:t>
            </w:r>
          </w:p>
        </w:tc>
      </w:tr>
      <w:tr>
        <w:trPr>
          <w:trHeight w:val="324"/>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5"/>
              </w:rPr>
              <w:t>2013</w:t>
            </w:r>
          </w:p>
        </w:tc>
        <w:tc>
          <w:tcPr>
            <w:tcW w:w="8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84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r>
      <w:tr>
        <w:trPr>
          <w:trHeight w:val="260"/>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Fourth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0.190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28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60"/>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Second quarter</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280"/>
        </w:trPr>
        <w:tc>
          <w:tcPr>
            <w:tcW w:w="88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r>
    </w:tbl>
    <w:p>
      <w:pPr>
        <w:spacing w:after="0" w:line="161"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On February 18, 2015, the Board of Directors declared a cash dividend of $0.25 per share on our outstanding common stock to be paid on March 16, 2015 to all stockholders of record on March 2, 2015.</w:t>
      </w:r>
    </w:p>
    <w:p>
      <w:pPr>
        <w:spacing w:after="0" w:line="3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Any future determination relating to the declaration and payment of dividends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 Our senior secured credit agreement contains restrictions on our activities, including paying dividends on our capital stock. For an explanation of these restrictions, see “Management’s Discussion and Analysis of Financial Condition and Results of Operations - Debt”. In addition, FINRA regulations restrict dividends in excess of 10% of a member firm’s excess net capital without FINRA’s prior approval, potentially impeding our ability to receive dividends from LPL Financial.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on compensation plans under which our equity securities are authorized for issuance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for future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 be issued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Weighted-average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upon exercise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exercise price of</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outstanding options,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20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6,255,997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31.64</w:t>
            </w:r>
          </w:p>
        </w:tc>
        <w:tc>
          <w:tcPr>
            <w:tcW w:w="100" w:type="dxa"/>
            <w:vAlign w:val="bottom"/>
            <w:shd w:val="clear" w:color="auto" w:fill="CCEEFF"/>
          </w:tcPr>
          <w:p>
            <w:pPr>
              <w:spacing w:after="0"/>
              <w:rPr>
                <w:sz w:val="24"/>
                <w:szCs w:val="24"/>
                <w:color w:val="auto"/>
              </w:rPr>
            </w:pPr>
          </w:p>
        </w:tc>
        <w:tc>
          <w:tcPr>
            <w:tcW w:w="24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6,318,795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20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31,413</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tcPr>
          <w:p>
            <w:pPr>
              <w:jc w:val="right"/>
              <w:ind w:right="25"/>
              <w:spacing w:after="0"/>
              <w:rPr>
                <w:sz w:val="20"/>
                <w:szCs w:val="20"/>
                <w:color w:val="auto"/>
              </w:rPr>
            </w:pPr>
            <w:r>
              <w:rPr>
                <w:rFonts w:ascii="Arial" w:cs="Arial" w:eastAsia="Arial" w:hAnsi="Arial"/>
                <w:sz w:val="16"/>
                <w:szCs w:val="16"/>
                <w:color w:val="auto"/>
              </w:rPr>
              <w:t>22.45</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6,287,410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31.59</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6,318,795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Includes shares available for future issuance under our 2010 Omnibus Equity Incentive Plan.</w:t>
      </w:r>
    </w:p>
    <w:p>
      <w:pPr>
        <w:spacing w:after="0" w:line="33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of December 31, 2014, we had outstanding 31,413 warrants to purchase common stock under our 2008 LPL Investment Holdings Inc. Financial Institution Incentive Plan (the “Financial Institution Incentive Plan”). Eligible participants under this plan include certain financial institutions. The plan is administered by the Board of Directors or such other committee as may be appointed by the Board of Directors to administer the plan. The exercise price of warrants is equal to the fair market value on the grant date. Warrant awards vest in equal increments of 20.0% over a five-year period and expire on the 10th anniversary following the date of grant. The Financial Institution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76" w:right="239" w:bottom="1440" w:gutter="0" w:footer="0" w:header="0"/>
        </w:sectPr>
      </w:pPr>
    </w:p>
    <w:bookmarkStart w:id="32" w:name="page33"/>
    <w:bookmarkEnd w:id="32"/>
    <w:p>
      <w:pPr>
        <w:ind w:right="100"/>
        <w:spacing w:after="0" w:line="262" w:lineRule="auto"/>
        <w:rPr>
          <w:sz w:val="20"/>
          <w:szCs w:val="20"/>
          <w:color w:val="auto"/>
        </w:rPr>
      </w:pPr>
      <w:r>
        <w:rPr>
          <w:rFonts w:ascii="Arial" w:cs="Arial" w:eastAsia="Arial" w:hAnsi="Arial"/>
          <w:sz w:val="18"/>
          <w:szCs w:val="18"/>
          <w:color w:val="auto"/>
        </w:rPr>
        <w:t>Incentive Plan has not been approved by security holders. Following our IPO, grants were no longer to be made under our Financial Institution Incentive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fourth quarter of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Weighted-Average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56"/>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2014 through October 31, 2014</w:t>
            </w:r>
          </w:p>
        </w:tc>
        <w:tc>
          <w:tcPr>
            <w:tcW w:w="1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1,476,149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43.47</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1,476,149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153,794,864</w:t>
            </w:r>
          </w:p>
        </w:tc>
        <w:tc>
          <w:tcPr>
            <w:tcW w:w="0" w:type="dxa"/>
            <w:vAlign w:val="bottom"/>
          </w:tcPr>
          <w:p>
            <w:pPr>
              <w:spacing w:after="0"/>
              <w:rPr>
                <w:sz w:val="1"/>
                <w:szCs w:val="1"/>
                <w:color w:val="auto"/>
              </w:rPr>
            </w:pPr>
          </w:p>
        </w:tc>
      </w:tr>
      <w:tr>
        <w:trPr>
          <w:trHeight w:val="260"/>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November 1, 2014 through November 30, 2014</w:t>
            </w:r>
          </w:p>
        </w:tc>
        <w:tc>
          <w:tcPr>
            <w:tcW w:w="1720" w:type="dxa"/>
            <w:vAlign w:val="bottom"/>
          </w:tcPr>
          <w:p>
            <w:pPr>
              <w:jc w:val="right"/>
              <w:ind w:right="43"/>
              <w:spacing w:after="0"/>
              <w:rPr>
                <w:sz w:val="20"/>
                <w:szCs w:val="20"/>
                <w:color w:val="auto"/>
              </w:rPr>
            </w:pPr>
            <w:r>
              <w:rPr>
                <w:rFonts w:ascii="Arial" w:cs="Arial" w:eastAsia="Arial" w:hAnsi="Arial"/>
                <w:sz w:val="16"/>
                <w:szCs w:val="16"/>
                <w:color w:val="auto"/>
              </w:rPr>
              <w:t>1,433,348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22"/>
                <w:szCs w:val="22"/>
                <w:color w:val="auto"/>
              </w:rPr>
            </w:pP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1,433,348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92,927,140</w:t>
            </w:r>
          </w:p>
        </w:tc>
        <w:tc>
          <w:tcPr>
            <w:tcW w:w="0" w:type="dxa"/>
            <w:vAlign w:val="bottom"/>
          </w:tcPr>
          <w:p>
            <w:pPr>
              <w:spacing w:after="0"/>
              <w:rPr>
                <w:sz w:val="1"/>
                <w:szCs w:val="1"/>
                <w:color w:val="auto"/>
              </w:rPr>
            </w:pPr>
          </w:p>
        </w:tc>
      </w:tr>
      <w:tr>
        <w:trPr>
          <w:trHeight w:val="273"/>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1, 2014 through December 31, 2014</w:t>
            </w:r>
          </w:p>
        </w:tc>
        <w:tc>
          <w:tcPr>
            <w:tcW w:w="1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2,909,497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42.98</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2,909,497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92,927,140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1"/>
                <w:szCs w:val="11"/>
                <w:color w:val="auto"/>
              </w:rPr>
              <w:t>_____________________</w:t>
            </w: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00" w:right="340" w:hanging="492"/>
        <w:spacing w:after="0" w:line="256"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repurchase of shares was executed under share repurchase programs approved by the Board of Directors on February 10, 2014 and October 1, 2014, through which the Company may repurchase $150.0 million under each repurchase program of its outstanding shares of common stock. See Note 14.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within the notes to consolidated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6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The following table sets forth selected historical financial information for the past five fiscal years. The selected historical financial information presented below should be read in conjunction with the information included under the heading “Management’s Discussion and Analysis of Financial Condition and Results of Operations” and our consolidated financial statements and related notes included elsewhere in this Annual Report on Form 10-K. We have derived the consolidated statements of income data for the years ended December 31, 2014, 2013, and 2012 and the consolidated statements of financial condition data as of December 31, 2014 and 2013 from our audited financial statements included in this Annual Report on Form 10-K. We have derived the consolidated statements of income data for the years ended December 31, 2011 and 2010 and consolidated statements of financial condition data as of December 31, 2012, 2011, and 2010 from our audited financial statements not included in this Annual Report on Form 10-K. Our historical results for any prior period are not necessarily indicative of results to be expected in any future period.</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Consolidated statements of income data:</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revenues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expenses</w:t>
      </w:r>
    </w:p>
    <w:p>
      <w:pPr>
        <w:spacing w:after="0" w:line="59" w:lineRule="exact"/>
        <w:rPr>
          <w:sz w:val="20"/>
          <w:szCs w:val="20"/>
          <w:color w:val="auto"/>
        </w:rPr>
      </w:pPr>
    </w:p>
    <w:p>
      <w:pPr>
        <w:ind w:left="340" w:hanging="80"/>
        <w:spacing w:after="0" w:line="260" w:lineRule="auto"/>
        <w:rPr>
          <w:sz w:val="20"/>
          <w:szCs w:val="20"/>
          <w:color w:val="auto"/>
        </w:rPr>
      </w:pPr>
      <w:r>
        <w:rPr>
          <w:rFonts w:ascii="Arial" w:cs="Arial" w:eastAsia="Arial" w:hAnsi="Arial"/>
          <w:sz w:val="16"/>
          <w:szCs w:val="16"/>
          <w:color w:val="auto"/>
        </w:rPr>
        <w:t>Income (loss) from operations before provision for (benefit from) income taxes</w:t>
      </w:r>
    </w:p>
    <w:p>
      <w:pPr>
        <w:spacing w:after="0" w:line="61" w:lineRule="exact"/>
        <w:rPr>
          <w:sz w:val="20"/>
          <w:szCs w:val="20"/>
          <w:color w:val="auto"/>
        </w:rPr>
      </w:pPr>
    </w:p>
    <w:p>
      <w:pPr>
        <w:ind w:left="80" w:right="1420"/>
        <w:spacing w:after="0" w:line="339" w:lineRule="auto"/>
        <w:rPr>
          <w:sz w:val="20"/>
          <w:szCs w:val="20"/>
          <w:color w:val="auto"/>
        </w:rPr>
      </w:pPr>
      <w:r>
        <w:rPr>
          <w:rFonts w:ascii="Arial" w:cs="Arial" w:eastAsia="Arial" w:hAnsi="Arial"/>
          <w:sz w:val="16"/>
          <w:szCs w:val="16"/>
          <w:color w:val="auto"/>
        </w:rPr>
        <w:t>Provision for (benefit from) income taxes Net income (loss)</w:t>
      </w:r>
    </w:p>
    <w:p>
      <w:pPr>
        <w:ind w:left="220"/>
        <w:spacing w:after="0"/>
        <w:rPr>
          <w:sz w:val="20"/>
          <w:szCs w:val="20"/>
          <w:color w:val="auto"/>
        </w:rPr>
      </w:pPr>
      <w:r>
        <w:rPr>
          <w:rFonts w:ascii="Arial" w:cs="Arial" w:eastAsia="Arial" w:hAnsi="Arial"/>
          <w:sz w:val="16"/>
          <w:szCs w:val="16"/>
          <w:b w:val="1"/>
          <w:bCs w:val="1"/>
          <w:color w:val="auto"/>
        </w:rPr>
        <w:t>Per share data:</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Earnings (loss) per basic share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Earnings (loss) per diluted share</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 dividends paid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Consolidated statements of financial condition data:</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assets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 debt</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4271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20" w:type="dxa"/>
            <w:vAlign w:val="bottom"/>
            <w:gridSpan w:val="5"/>
          </w:tcPr>
          <w:p>
            <w:pPr>
              <w:jc w:val="center"/>
              <w:ind w:right="179"/>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4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4,373,662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4,140,858</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3,661,088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3,479,375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3,113,486</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4,078,965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3,849,555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3,410,497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3,196,690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3,202,335</w:t>
            </w:r>
          </w:p>
        </w:tc>
      </w:tr>
      <w:tr>
        <w:trPr>
          <w:trHeight w:val="432"/>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294,697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291,303</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250,591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282,685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(88,849)</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116,654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109,446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98,673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112,303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(31,987)</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178,043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181,857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151,918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170,382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(56,862)</w:t>
            </w:r>
          </w:p>
        </w:tc>
      </w:tr>
      <w:tr>
        <w:trPr>
          <w:trHeight w:val="54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(0.64)</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(0.64)</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0.96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526"/>
        </w:trPr>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2012</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237"/>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4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412,332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516,584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466,261</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720,772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419,208</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4,050,993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4,042,831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3,988,524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3,816,326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3,646,167</w:t>
            </w:r>
          </w:p>
        </w:tc>
      </w:tr>
      <w:tr>
        <w:trPr>
          <w:trHeight w:val="27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1,634,258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1,535,096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1,317,825</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1,332,668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1,386,639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-2997200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-2654300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-2207895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-1864995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-1522095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-501650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-158750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420" w:space="280"/>
            <w:col w:w="6720"/>
          </w:cols>
          <w:pgMar w:left="240" w:top="738"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Table continued on following page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38"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8"/>
          </w:tcPr>
          <w:p>
            <w:pPr>
              <w:ind w:left="140"/>
              <w:spacing w:after="0"/>
              <w:rPr>
                <w:sz w:val="20"/>
                <w:szCs w:val="20"/>
                <w:color w:val="auto"/>
              </w:rPr>
            </w:pPr>
            <w:r>
              <w:rPr>
                <w:rFonts w:ascii="Arial" w:cs="Arial" w:eastAsia="Arial" w:hAnsi="Arial"/>
                <w:sz w:val="16"/>
                <w:szCs w:val="16"/>
                <w:b w:val="1"/>
                <w:bCs w:val="1"/>
                <w:color w:val="auto"/>
              </w:rPr>
              <w:t>As of and for the Years Ended December 31,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64"/>
        </w:trPr>
        <w:tc>
          <w:tcPr>
            <w:tcW w:w="4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2010</w:t>
            </w:r>
          </w:p>
        </w:tc>
      </w:tr>
      <w:tr>
        <w:trPr>
          <w:trHeight w:val="260"/>
        </w:trPr>
        <w:tc>
          <w:tcPr>
            <w:tcW w:w="4440" w:type="dxa"/>
            <w:vAlign w:val="bottom"/>
          </w:tcPr>
          <w:p>
            <w:pPr>
              <w:ind w:left="220"/>
              <w:spacing w:after="0"/>
              <w:rPr>
                <w:sz w:val="20"/>
                <w:szCs w:val="20"/>
                <w:color w:val="auto"/>
              </w:rPr>
            </w:pPr>
            <w:r>
              <w:rPr>
                <w:rFonts w:ascii="Arial" w:cs="Arial" w:eastAsia="Arial" w:hAnsi="Arial"/>
                <w:sz w:val="16"/>
                <w:szCs w:val="16"/>
                <w:b w:val="1"/>
                <w:bCs w:val="1"/>
                <w:color w:val="auto"/>
              </w:rPr>
              <w:t>Other financial and operating data:</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EBITDA (in thousands)(1)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516,507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511,438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454,482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459,720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413,113</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Adjusted Earnings (in thousands)(1)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247,621</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258,805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225,029</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218,585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172,720</w:t>
            </w: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Adjusted Earnings per share(1)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1.71</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Gross Profit (in thousands)(2)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1,325,945</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1,248,014</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1,112,251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1,030,951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937,933</w:t>
            </w: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Gross Profit as a % of net revenue(2)</w:t>
            </w: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Number of advisors(3)</w:t>
            </w:r>
          </w:p>
        </w:tc>
        <w:tc>
          <w:tcPr>
            <w:tcW w:w="26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14,036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13,673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13,352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12,847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12,444</w:t>
            </w: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and brokerage assets (in billions)(4)</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438.4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315.6</w:t>
            </w:r>
          </w:p>
        </w:tc>
      </w:tr>
      <w:tr>
        <w:trPr>
          <w:trHeight w:val="260"/>
        </w:trPr>
        <w:tc>
          <w:tcPr>
            <w:tcW w:w="4440" w:type="dxa"/>
            <w:vAlign w:val="bottom"/>
          </w:tcPr>
          <w:p>
            <w:pPr>
              <w:ind w:left="80"/>
              <w:spacing w:after="0"/>
              <w:rPr>
                <w:sz w:val="20"/>
                <w:szCs w:val="20"/>
                <w:color w:val="auto"/>
              </w:rPr>
            </w:pPr>
            <w:r>
              <w:rPr>
                <w:rFonts w:ascii="Arial" w:cs="Arial" w:eastAsia="Arial" w:hAnsi="Arial"/>
                <w:sz w:val="16"/>
                <w:szCs w:val="16"/>
                <w:color w:val="auto"/>
              </w:rPr>
              <w:t>Advisory assets under custody (in billions)(4)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93.0</w:t>
            </w:r>
          </w:p>
        </w:tc>
      </w:tr>
      <w:tr>
        <w:trPr>
          <w:trHeight w:val="280"/>
        </w:trPr>
        <w:tc>
          <w:tcPr>
            <w:tcW w:w="4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billions)(4)</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12.2</w:t>
            </w:r>
          </w:p>
        </w:tc>
      </w:tr>
      <w:tr>
        <w:trPr>
          <w:trHeight w:val="251"/>
        </w:trPr>
        <w:tc>
          <w:tcPr>
            <w:tcW w:w="444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6.9</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w:t>
      </w:r>
    </w:p>
    <w:p>
      <w:pPr>
        <w:ind w:left="340" w:right="66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How We Evaluate Growth” for an explanation of non-GAAP measures Adjusted EBITDA, Adjusted Earnings, and Adjusted Earnings per share.</w:t>
      </w:r>
    </w:p>
    <w:p>
      <w:pPr>
        <w:spacing w:after="0" w:line="34" w:lineRule="exact"/>
        <w:rPr>
          <w:rFonts w:ascii="Arial" w:cs="Arial" w:eastAsia="Arial" w:hAnsi="Arial"/>
          <w:sz w:val="18"/>
          <w:szCs w:val="18"/>
          <w:color w:val="auto"/>
        </w:rPr>
      </w:pPr>
    </w:p>
    <w:p>
      <w:pPr>
        <w:ind w:left="340" w:right="20" w:hanging="332"/>
        <w:spacing w:after="0" w:line="25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Production expenses consist of the following expense categories from our consolidated statements of income: (i) commission and advisory and (ii) brokerage, clearing, and exchange. All other expense categories, including depreciation and amortization, are considered general and administrative in nature. Because our gross profit amounts do not include any depreciation and amortization expense, we consider our gross profit amounts to be non-GAAP measures that may not be comparable to those of others in our industry.</w:t>
      </w:r>
    </w:p>
    <w:p>
      <w:pPr>
        <w:spacing w:after="0" w:line="43" w:lineRule="exact"/>
        <w:rPr>
          <w:rFonts w:ascii="Arial" w:cs="Arial" w:eastAsia="Arial" w:hAnsi="Arial"/>
          <w:sz w:val="18"/>
          <w:szCs w:val="18"/>
          <w:color w:val="auto"/>
        </w:rPr>
      </w:pPr>
    </w:p>
    <w:p>
      <w:pPr>
        <w:ind w:left="340" w:right="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subsidiary.</w:t>
      </w:r>
    </w:p>
    <w:p>
      <w:pPr>
        <w:spacing w:after="0" w:line="34" w:lineRule="exact"/>
        <w:rPr>
          <w:rFonts w:ascii="Arial" w:cs="Arial" w:eastAsia="Arial" w:hAnsi="Arial"/>
          <w:sz w:val="18"/>
          <w:szCs w:val="18"/>
          <w:color w:val="auto"/>
        </w:rPr>
      </w:pPr>
    </w:p>
    <w:p>
      <w:pPr>
        <w:ind w:left="340" w:right="18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Insured cash account and money market account balances are also included in advisory and brokerage assets.</w:t>
      </w:r>
    </w:p>
    <w:p>
      <w:pPr>
        <w:spacing w:after="0" w:line="148"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Not included in the advisory and brokerage assets above are other client assets, including retirement plan assets in plans supported by advisors licensed with LPL Financial, and certain trust and high-net-worth assets, that are custodied with third-party providers. At December 31, 2014, 2013, and 2012 these other assets were (in billions):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assets(1)</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80.3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r>
      <w:tr>
        <w:trPr>
          <w:trHeight w:val="260"/>
        </w:trPr>
        <w:tc>
          <w:tcPr>
            <w:tcW w:w="7440" w:type="dxa"/>
            <w:vAlign w:val="bottom"/>
          </w:tcPr>
          <w:p>
            <w:pPr>
              <w:ind w:left="80"/>
              <w:spacing w:after="0"/>
              <w:rPr>
                <w:sz w:val="20"/>
                <w:szCs w:val="20"/>
                <w:color w:val="auto"/>
              </w:rPr>
            </w:pPr>
            <w:r>
              <w:rPr>
                <w:rFonts w:ascii="Arial" w:cs="Arial" w:eastAsia="Arial" w:hAnsi="Arial"/>
                <w:sz w:val="16"/>
                <w:szCs w:val="16"/>
                <w:color w:val="auto"/>
              </w:rPr>
              <w:t>Trust assets(2)</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8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assets(3)</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87.3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r>
    </w:tbl>
    <w:p>
      <w:pPr>
        <w:spacing w:after="0" w:line="2"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w:t>
      </w:r>
    </w:p>
    <w:p>
      <w:pPr>
        <w:spacing w:after="0"/>
        <w:rPr>
          <w:sz w:val="20"/>
          <w:szCs w:val="20"/>
          <w:color w:val="auto"/>
        </w:rPr>
      </w:pPr>
      <w:r>
        <w:rPr>
          <w:rFonts w:ascii="Arial" w:cs="Arial" w:eastAsia="Arial" w:hAnsi="Arial"/>
          <w:sz w:val="16"/>
          <w:szCs w:val="16"/>
          <w:color w:val="auto"/>
        </w:rPr>
        <w:t>Data regarding these assets was not available at or prior to December 31, 2011.</w:t>
      </w:r>
    </w:p>
    <w:p>
      <w:pPr>
        <w:spacing w:after="0" w:line="56" w:lineRule="exact"/>
        <w:rPr>
          <w:sz w:val="20"/>
          <w:szCs w:val="20"/>
          <w:color w:val="auto"/>
        </w:rPr>
      </w:pPr>
    </w:p>
    <w:p>
      <w:pPr>
        <w:ind w:left="340" w:right="160" w:hanging="332"/>
        <w:spacing w:after="0" w:line="271"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retirement plan assets that are custodied with third-party providers of retirement plan administrative services who provide reporting feeds. We estimate the total assets in retirement plans supported by advisors licensed with LPL Financial to be between $115.0 billion and $125.0 billion at December 31, 2014. If we receive reporting feeds in the future from providers for whom we do not currently receive feeds, we intend to include and identify such additional assets in this metric. During 2014 and 2013, we began receiving reporting feeds from additional providers, which accounted for $6.6 billion and $1.7 billion of the year-over-year increases in retirement plan assets.</w:t>
      </w:r>
    </w:p>
    <w:p>
      <w:pPr>
        <w:spacing w:after="0" w:line="84" w:lineRule="exact"/>
        <w:rPr>
          <w:rFonts w:ascii="Arial" w:cs="Arial" w:eastAsia="Arial" w:hAnsi="Arial"/>
          <w:sz w:val="17"/>
          <w:szCs w:val="17"/>
          <w:color w:val="auto"/>
        </w:rPr>
      </w:pPr>
    </w:p>
    <w:p>
      <w:pPr>
        <w:ind w:left="340" w:right="6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trust assets that are on the comprehensive wealth management platform of the Concord Trust and Wealth Solutions division of LPL Financial.</w:t>
      </w:r>
    </w:p>
    <w:p>
      <w:pPr>
        <w:spacing w:after="0" w:line="88" w:lineRule="exact"/>
        <w:rPr>
          <w:rFonts w:ascii="Arial" w:cs="Arial" w:eastAsia="Arial" w:hAnsi="Arial"/>
          <w:sz w:val="18"/>
          <w:szCs w:val="18"/>
          <w:color w:val="auto"/>
        </w:rPr>
      </w:pPr>
    </w:p>
    <w:p>
      <w:pPr>
        <w:ind w:left="340" w:right="400" w:hanging="332"/>
        <w:spacing w:after="0" w:line="262"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high-net-worth assets that are on the comprehensive platform of performance reporting, investment research, and practice management of Fortigent Holdings Company, Inc. and its subsidiaries.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7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consolidated financial statements and the notes to those consolidated financial statements included in Item 8 of this Form 10-K. This discussion contains forward-looking statements that involve significant risks and uncertainties. As a result of many factors, such as those set forth under “Risk Factors” and elsewhere in this Form 10-K, our actual results may differ materially from those anticipated in these forward-looking statements. Please also refer to the section under heading "Special Note Regarding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14,000 independent financial advisors, including financial advisors at more than 700 financial institutions (our "advisors") across the country, enabling them to provide their retail investors (their "clients") with objective financial advice through a lower conflict model. We also support approximately 4,400 financial advisors who are affiliated and licensed with insurance companies with customized clearing, advisory platforms and technology solutions.</w:t>
      </w:r>
    </w:p>
    <w:p>
      <w:pPr>
        <w:spacing w:after="0" w:line="101"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Fortigent Holdings Company, Inc. and its subsidiaries ("Fortigent") are a leading provider of solutions and consulting services to RIAs, banks and trust companies servicing high-net-worth clients, while The Private Trust Company, N.A. ("PTC") manages trusts and family assets for high-net-worth clients.</w:t>
      </w:r>
    </w:p>
    <w:p>
      <w:pPr>
        <w:spacing w:after="0" w:line="94"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96"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Annual Report on Form 10-K has been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3,384 employees with primary offices in Boston, Charlotte, and San Diego.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13,000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26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index.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38" w:right="259" w:bottom="1440" w:gutter="0" w:footer="0" w:header="0"/>
        </w:sectPr>
      </w:pPr>
    </w:p>
    <w:bookmarkStart w:id="36" w:name="page37"/>
    <w:bookmarkEnd w:id="36"/>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116" w:lineRule="exact"/>
        <w:rPr>
          <w:sz w:val="20"/>
          <w:szCs w:val="20"/>
          <w:color w:val="auto"/>
        </w:rPr>
      </w:pPr>
    </w:p>
    <w:tbl>
      <w:tblPr>
        <w:tblLayout w:type="fixed"/>
        <w:tblInd w:w="30" w:type="dxa"/>
        <w:tblCellMar>
          <w:top w:w="0" w:type="dxa"/>
          <w:left w:w="0" w:type="dxa"/>
          <w:bottom w:w="0" w:type="dxa"/>
          <w:right w:w="0" w:type="dxa"/>
        </w:tblCellMar>
      </w:tblPr>
      <w:tr>
        <w:trPr>
          <w:trHeight w:val="264"/>
        </w:trPr>
        <w:tc>
          <w:tcPr>
            <w:tcW w:w="2300" w:type="dxa"/>
            <w:vAlign w:val="bottom"/>
            <w:tcBorders>
              <w:right w:val="single" w:sz="8" w:color="A5A5A5"/>
            </w:tcBorders>
          </w:tcPr>
          <w:p>
            <w:pPr>
              <w:spacing w:after="0"/>
              <w:rPr>
                <w:sz w:val="22"/>
                <w:szCs w:val="22"/>
                <w:color w:val="auto"/>
              </w:rPr>
            </w:pPr>
          </w:p>
        </w:tc>
        <w:tc>
          <w:tcPr>
            <w:tcW w:w="3200" w:type="dxa"/>
            <w:vAlign w:val="bottom"/>
            <w:tcBorders>
              <w:bottom w:val="single" w:sz="8" w:color="auto"/>
              <w:right w:val="single" w:sz="8" w:color="A5A5A5"/>
            </w:tcBorders>
            <w:shd w:val="clear" w:color="auto" w:fill="000000"/>
          </w:tcPr>
          <w:p>
            <w:pPr>
              <w:spacing w:after="0"/>
              <w:rPr>
                <w:sz w:val="22"/>
                <w:szCs w:val="22"/>
                <w:color w:val="auto"/>
              </w:rPr>
            </w:pPr>
          </w:p>
        </w:tc>
        <w:tc>
          <w:tcPr>
            <w:tcW w:w="2520" w:type="dxa"/>
            <w:vAlign w:val="bottom"/>
            <w:tcBorders>
              <w:bottom w:val="single" w:sz="8" w:color="auto"/>
              <w:right w:val="single" w:sz="8" w:color="A5A5A5"/>
            </w:tcBorders>
            <w:shd w:val="clear" w:color="auto" w:fill="000000"/>
          </w:tcPr>
          <w:p>
            <w:pPr>
              <w:spacing w:after="0"/>
              <w:rPr>
                <w:sz w:val="22"/>
                <w:szCs w:val="22"/>
                <w:color w:val="auto"/>
              </w:rPr>
            </w:pPr>
          </w:p>
        </w:tc>
        <w:tc>
          <w:tcPr>
            <w:tcW w:w="3400" w:type="dxa"/>
            <w:vAlign w:val="bottom"/>
            <w:tcBorders>
              <w:bottom w:val="single" w:sz="8" w:color="A5A5A5"/>
              <w:right w:val="single" w:sz="8" w:color="A5A5A5"/>
            </w:tcBorders>
            <w:gridSpan w:val="3"/>
            <w:shd w:val="clear" w:color="auto" w:fill="000000"/>
          </w:tcPr>
          <w:p>
            <w:pPr>
              <w:jc w:val="center"/>
              <w:spacing w:after="0"/>
              <w:rPr>
                <w:sz w:val="20"/>
                <w:szCs w:val="20"/>
                <w:color w:val="auto"/>
              </w:rPr>
            </w:pPr>
            <w:r>
              <w:rPr>
                <w:rFonts w:ascii="Arial" w:cs="Arial" w:eastAsia="Arial" w:hAnsi="Arial"/>
                <w:sz w:val="16"/>
                <w:szCs w:val="16"/>
                <w:color w:val="FFFFFF"/>
              </w:rPr>
              <w:t>For the Year Ended December 31, 2014</w:t>
            </w:r>
          </w:p>
        </w:tc>
        <w:tc>
          <w:tcPr>
            <w:tcW w:w="0" w:type="dxa"/>
            <w:vAlign w:val="bottom"/>
          </w:tcPr>
          <w:p>
            <w:pPr>
              <w:spacing w:after="0"/>
              <w:rPr>
                <w:sz w:val="1"/>
                <w:szCs w:val="1"/>
                <w:color w:val="auto"/>
              </w:rPr>
            </w:pPr>
          </w:p>
        </w:tc>
      </w:tr>
      <w:tr>
        <w:trPr>
          <w:trHeight w:val="218"/>
        </w:trPr>
        <w:tc>
          <w:tcPr>
            <w:tcW w:w="2300" w:type="dxa"/>
            <w:vAlign w:val="bottom"/>
            <w:tcBorders>
              <w:right w:val="single" w:sz="8" w:color="A5A5A5"/>
            </w:tcBorders>
          </w:tcPr>
          <w:p>
            <w:pPr>
              <w:spacing w:after="0"/>
              <w:rPr>
                <w:sz w:val="18"/>
                <w:szCs w:val="18"/>
                <w:color w:val="auto"/>
              </w:rPr>
            </w:pPr>
          </w:p>
        </w:tc>
        <w:tc>
          <w:tcPr>
            <w:tcW w:w="3200" w:type="dxa"/>
            <w:vAlign w:val="bottom"/>
            <w:tcBorders>
              <w:right w:val="single" w:sz="8" w:color="A5A5A5"/>
            </w:tcBorders>
            <w:shd w:val="clear" w:color="auto" w:fill="000000"/>
          </w:tcPr>
          <w:p>
            <w:pPr>
              <w:spacing w:after="0"/>
              <w:rPr>
                <w:sz w:val="18"/>
                <w:szCs w:val="18"/>
                <w:color w:val="auto"/>
              </w:rPr>
            </w:pPr>
          </w:p>
        </w:tc>
        <w:tc>
          <w:tcPr>
            <w:tcW w:w="2520" w:type="dxa"/>
            <w:vAlign w:val="bottom"/>
            <w:tcBorders>
              <w:right w:val="single" w:sz="8" w:color="A5A5A5"/>
            </w:tcBorders>
            <w:shd w:val="clear" w:color="auto" w:fill="000000"/>
          </w:tcPr>
          <w:p>
            <w:pPr>
              <w:spacing w:after="0"/>
              <w:rPr>
                <w:sz w:val="18"/>
                <w:szCs w:val="18"/>
                <w:color w:val="auto"/>
              </w:rPr>
            </w:pPr>
          </w:p>
        </w:tc>
        <w:tc>
          <w:tcPr>
            <w:tcW w:w="114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6"/>
                <w:szCs w:val="16"/>
                <w:color w:val="FFFFFF"/>
                <w:w w:val="95"/>
              </w:rPr>
              <w:t>Total</w:t>
            </w:r>
          </w:p>
        </w:tc>
        <w:tc>
          <w:tcPr>
            <w:tcW w:w="11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6"/>
                <w:szCs w:val="16"/>
                <w:color w:val="FFFFFF"/>
                <w:w w:val="98"/>
              </w:rPr>
              <w:t>% of Total Net</w:t>
            </w:r>
          </w:p>
        </w:tc>
        <w:tc>
          <w:tcPr>
            <w:tcW w:w="1140" w:type="dxa"/>
            <w:vAlign w:val="bottom"/>
            <w:tcBorders>
              <w:right w:val="single" w:sz="8" w:color="A5A5A5"/>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tcBorders>
              <w:bottom w:val="single" w:sz="8" w:color="999999"/>
              <w:right w:val="single" w:sz="8" w:color="A5A5A5"/>
            </w:tcBorders>
          </w:tcPr>
          <w:p>
            <w:pPr>
              <w:spacing w:after="0"/>
              <w:rPr>
                <w:sz w:val="18"/>
                <w:szCs w:val="18"/>
                <w:color w:val="auto"/>
              </w:rPr>
            </w:pPr>
          </w:p>
        </w:tc>
        <w:tc>
          <w:tcPr>
            <w:tcW w:w="3200" w:type="dxa"/>
            <w:vAlign w:val="bottom"/>
            <w:tcBorders>
              <w:bottom w:val="single" w:sz="8" w:color="A5A5A5"/>
              <w:right w:val="single" w:sz="8" w:color="A5A5A5"/>
            </w:tcBorders>
            <w:shd w:val="clear" w:color="auto" w:fill="000000"/>
          </w:tcPr>
          <w:p>
            <w:pPr>
              <w:ind w:left="860"/>
              <w:spacing w:after="0"/>
              <w:rPr>
                <w:sz w:val="20"/>
                <w:szCs w:val="20"/>
                <w:color w:val="auto"/>
              </w:rPr>
            </w:pPr>
            <w:r>
              <w:rPr>
                <w:rFonts w:ascii="Arial" w:cs="Arial" w:eastAsia="Arial" w:hAnsi="Arial"/>
                <w:sz w:val="16"/>
                <w:szCs w:val="16"/>
                <w:color w:val="FFFFFF"/>
              </w:rPr>
              <w:t>Sources of Revenue</w:t>
            </w:r>
          </w:p>
        </w:tc>
        <w:tc>
          <w:tcPr>
            <w:tcW w:w="252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6"/>
                <w:szCs w:val="16"/>
                <w:color w:val="FFFFFF"/>
              </w:rPr>
              <w:t>Primary Drivers</w:t>
            </w:r>
          </w:p>
        </w:tc>
        <w:tc>
          <w:tcPr>
            <w:tcW w:w="114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6"/>
                <w:szCs w:val="16"/>
                <w:color w:val="FFFFFF"/>
                <w:w w:val="99"/>
              </w:rPr>
              <w:t>(millions)</w:t>
            </w:r>
          </w:p>
        </w:tc>
        <w:tc>
          <w:tcPr>
            <w:tcW w:w="11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6"/>
                <w:szCs w:val="16"/>
                <w:color w:val="FFFFFF"/>
                <w:w w:val="99"/>
              </w:rPr>
              <w:t>Revenue</w:t>
            </w:r>
          </w:p>
        </w:tc>
        <w:tc>
          <w:tcPr>
            <w:tcW w:w="114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6"/>
                <w:szCs w:val="16"/>
                <w:color w:val="FFFFFF"/>
              </w:rPr>
              <w:t>% Recurring</w:t>
            </w:r>
          </w:p>
        </w:tc>
        <w:tc>
          <w:tcPr>
            <w:tcW w:w="0" w:type="dxa"/>
            <w:vAlign w:val="bottom"/>
          </w:tcPr>
          <w:p>
            <w:pPr>
              <w:spacing w:after="0"/>
              <w:rPr>
                <w:sz w:val="1"/>
                <w:szCs w:val="1"/>
                <w:color w:val="auto"/>
              </w:rPr>
            </w:pPr>
          </w:p>
        </w:tc>
      </w:tr>
      <w:tr>
        <w:trPr>
          <w:trHeight w:val="218"/>
        </w:trPr>
        <w:tc>
          <w:tcPr>
            <w:tcW w:w="23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6"/>
                <w:szCs w:val="16"/>
                <w:color w:val="auto"/>
              </w:rPr>
              <w:t>Advisor-driven</w:t>
            </w:r>
          </w:p>
        </w:tc>
        <w:tc>
          <w:tcPr>
            <w:tcW w:w="3200" w:type="dxa"/>
            <w:vAlign w:val="bottom"/>
            <w:tcBorders>
              <w:right w:val="single" w:sz="8" w:color="A5A5A5"/>
            </w:tcBorders>
          </w:tcPr>
          <w:p>
            <w:pPr>
              <w:ind w:left="20"/>
              <w:spacing w:after="0"/>
              <w:rPr>
                <w:sz w:val="20"/>
                <w:szCs w:val="20"/>
                <w:color w:val="auto"/>
              </w:rPr>
            </w:pPr>
            <w:r>
              <w:rPr>
                <w:rFonts w:ascii="Arial" w:cs="Arial" w:eastAsia="Arial" w:hAnsi="Arial"/>
                <w:sz w:val="16"/>
                <w:szCs w:val="16"/>
                <w:b w:val="1"/>
                <w:bCs w:val="1"/>
                <w:color w:val="auto"/>
              </w:rPr>
              <w:t>Commission</w:t>
            </w: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Transactions</w:t>
            </w:r>
          </w:p>
        </w:tc>
        <w:tc>
          <w:tcPr>
            <w:tcW w:w="11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$2,118</w:t>
            </w:r>
          </w:p>
        </w:tc>
        <w:tc>
          <w:tcPr>
            <w:tcW w:w="11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w w:val="99"/>
              </w:rPr>
              <w:t>48%</w:t>
            </w:r>
          </w:p>
        </w:tc>
        <w:tc>
          <w:tcPr>
            <w:tcW w:w="11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w w:val="99"/>
              </w:rPr>
              <w:t>44%</w:t>
            </w:r>
          </w:p>
        </w:tc>
        <w:tc>
          <w:tcPr>
            <w:tcW w:w="0" w:type="dxa"/>
            <w:vAlign w:val="bottom"/>
          </w:tcPr>
          <w:p>
            <w:pPr>
              <w:spacing w:after="0"/>
              <w:rPr>
                <w:sz w:val="1"/>
                <w:szCs w:val="1"/>
                <w:color w:val="auto"/>
              </w:rPr>
            </w:pPr>
          </w:p>
        </w:tc>
      </w:tr>
      <w:tr>
        <w:trPr>
          <w:trHeight w:val="100"/>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revenue with ~85%-90%</w:t>
            </w:r>
          </w:p>
        </w:tc>
        <w:tc>
          <w:tcPr>
            <w:tcW w:w="3200" w:type="dxa"/>
            <w:vAlign w:val="bottom"/>
            <w:tcBorders>
              <w:right w:val="single" w:sz="8" w:color="A5A5A5"/>
            </w:tcBorders>
          </w:tcPr>
          <w:p>
            <w:pPr>
              <w:spacing w:after="0"/>
              <w:rPr>
                <w:sz w:val="8"/>
                <w:szCs w:val="8"/>
                <w:color w:val="auto"/>
              </w:rPr>
            </w:pPr>
          </w:p>
        </w:tc>
        <w:tc>
          <w:tcPr>
            <w:tcW w:w="25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Brokerage asset levels</w:t>
            </w:r>
          </w:p>
        </w:tc>
        <w:tc>
          <w:tcPr>
            <w:tcW w:w="1140" w:type="dxa"/>
            <w:vAlign w:val="bottom"/>
            <w:tcBorders>
              <w:right w:val="single" w:sz="8" w:color="A5A5A5"/>
            </w:tcBorders>
            <w:vMerge w:val="continue"/>
          </w:tcPr>
          <w:p>
            <w:pPr>
              <w:spacing w:after="0"/>
              <w:rPr>
                <w:sz w:val="8"/>
                <w:szCs w:val="8"/>
                <w:color w:val="auto"/>
              </w:rPr>
            </w:pPr>
          </w:p>
        </w:tc>
        <w:tc>
          <w:tcPr>
            <w:tcW w:w="1120" w:type="dxa"/>
            <w:vAlign w:val="bottom"/>
            <w:tcBorders>
              <w:right w:val="single" w:sz="8" w:color="A5A5A5"/>
            </w:tcBorders>
            <w:vMerge w:val="continue"/>
          </w:tcPr>
          <w:p>
            <w:pPr>
              <w:spacing w:after="0"/>
              <w:rPr>
                <w:sz w:val="8"/>
                <w:szCs w:val="8"/>
                <w:color w:val="auto"/>
              </w:rPr>
            </w:pPr>
          </w:p>
        </w:tc>
        <w:tc>
          <w:tcPr>
            <w:tcW w:w="1140" w:type="dxa"/>
            <w:vAlign w:val="bottom"/>
            <w:tcBorders>
              <w:right w:val="single" w:sz="8" w:color="A5A5A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300" w:type="dxa"/>
            <w:vAlign w:val="bottom"/>
            <w:tcBorders>
              <w:left w:val="single" w:sz="8" w:color="999999"/>
              <w:right w:val="single" w:sz="8" w:color="A5A5A5"/>
            </w:tcBorders>
            <w:vMerge w:val="continue"/>
          </w:tcPr>
          <w:p>
            <w:pPr>
              <w:spacing w:after="0"/>
              <w:rPr>
                <w:sz w:val="9"/>
                <w:szCs w:val="9"/>
                <w:color w:val="auto"/>
              </w:rPr>
            </w:pPr>
          </w:p>
        </w:tc>
        <w:tc>
          <w:tcPr>
            <w:tcW w:w="3200" w:type="dxa"/>
            <w:vAlign w:val="bottom"/>
            <w:tcBorders>
              <w:bottom w:val="single" w:sz="8" w:color="A5A5A5"/>
              <w:right w:val="single" w:sz="8" w:color="A5A5A5"/>
            </w:tcBorders>
          </w:tcPr>
          <w:p>
            <w:pPr>
              <w:spacing w:after="0"/>
              <w:rPr>
                <w:sz w:val="9"/>
                <w:szCs w:val="9"/>
                <w:color w:val="auto"/>
              </w:rPr>
            </w:pPr>
          </w:p>
        </w:tc>
        <w:tc>
          <w:tcPr>
            <w:tcW w:w="2520" w:type="dxa"/>
            <w:vAlign w:val="bottom"/>
            <w:tcBorders>
              <w:bottom w:val="single" w:sz="8" w:color="A5A5A5"/>
              <w:right w:val="single" w:sz="8" w:color="A5A5A5"/>
            </w:tcBorders>
            <w:vMerge w:val="continue"/>
          </w:tcPr>
          <w:p>
            <w:pPr>
              <w:spacing w:after="0"/>
              <w:rPr>
                <w:sz w:val="9"/>
                <w:szCs w:val="9"/>
                <w:color w:val="auto"/>
              </w:rPr>
            </w:pPr>
          </w:p>
        </w:tc>
        <w:tc>
          <w:tcPr>
            <w:tcW w:w="1140" w:type="dxa"/>
            <w:vAlign w:val="bottom"/>
            <w:tcBorders>
              <w:bottom w:val="single" w:sz="8" w:color="A5A5A5"/>
              <w:right w:val="single" w:sz="8" w:color="A5A5A5"/>
            </w:tcBorders>
          </w:tcPr>
          <w:p>
            <w:pPr>
              <w:spacing w:after="0"/>
              <w:rPr>
                <w:sz w:val="9"/>
                <w:szCs w:val="9"/>
                <w:color w:val="auto"/>
              </w:rPr>
            </w:pPr>
          </w:p>
        </w:tc>
        <w:tc>
          <w:tcPr>
            <w:tcW w:w="1120" w:type="dxa"/>
            <w:vAlign w:val="bottom"/>
            <w:tcBorders>
              <w:bottom w:val="single" w:sz="8" w:color="A5A5A5"/>
              <w:right w:val="single" w:sz="8" w:color="A5A5A5"/>
            </w:tcBorders>
          </w:tcPr>
          <w:p>
            <w:pPr>
              <w:spacing w:after="0"/>
              <w:rPr>
                <w:sz w:val="9"/>
                <w:szCs w:val="9"/>
                <w:color w:val="auto"/>
              </w:rPr>
            </w:pPr>
          </w:p>
        </w:tc>
        <w:tc>
          <w:tcPr>
            <w:tcW w:w="1140" w:type="dxa"/>
            <w:vAlign w:val="bottom"/>
            <w:tcBorders>
              <w:bottom w:val="single" w:sz="8" w:color="A5A5A5"/>
              <w:right w:val="single" w:sz="8" w:color="A5A5A5"/>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00" w:type="dxa"/>
            <w:vAlign w:val="bottom"/>
            <w:tcBorders>
              <w:left w:val="single" w:sz="8" w:color="999999"/>
              <w:bottom w:val="single" w:sz="8" w:color="999999"/>
              <w:right w:val="single" w:sz="8" w:color="A5A5A5"/>
            </w:tcBorders>
          </w:tcPr>
          <w:p>
            <w:pPr>
              <w:jc w:val="center"/>
              <w:spacing w:after="0" w:line="177" w:lineRule="exact"/>
              <w:rPr>
                <w:sz w:val="20"/>
                <w:szCs w:val="20"/>
                <w:color w:val="auto"/>
              </w:rPr>
            </w:pPr>
            <w:r>
              <w:rPr>
                <w:rFonts w:ascii="Arial" w:cs="Arial" w:eastAsia="Arial" w:hAnsi="Arial"/>
                <w:sz w:val="16"/>
                <w:szCs w:val="16"/>
                <w:color w:val="auto"/>
              </w:rPr>
              <w:t>payout ratio</w:t>
            </w:r>
          </w:p>
        </w:tc>
        <w:tc>
          <w:tcPr>
            <w:tcW w:w="320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6"/>
                <w:szCs w:val="16"/>
                <w:b w:val="1"/>
                <w:bCs w:val="1"/>
                <w:color w:val="auto"/>
              </w:rPr>
              <w:t>Advisory</w:t>
            </w:r>
          </w:p>
        </w:tc>
        <w:tc>
          <w:tcPr>
            <w:tcW w:w="25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6"/>
                <w:szCs w:val="16"/>
                <w:color w:val="auto"/>
              </w:rPr>
              <w:t>- Advisory asset levels</w:t>
            </w:r>
          </w:p>
        </w:tc>
        <w:tc>
          <w:tcPr>
            <w:tcW w:w="114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6"/>
                <w:szCs w:val="16"/>
                <w:color w:val="auto"/>
              </w:rPr>
              <w:t>$1,338</w:t>
            </w:r>
          </w:p>
        </w:tc>
        <w:tc>
          <w:tcPr>
            <w:tcW w:w="112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6"/>
                <w:szCs w:val="16"/>
                <w:color w:val="auto"/>
                <w:w w:val="99"/>
              </w:rPr>
              <w:t>31%</w:t>
            </w:r>
          </w:p>
        </w:tc>
        <w:tc>
          <w:tcPr>
            <w:tcW w:w="114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6"/>
                <w:szCs w:val="16"/>
                <w:color w:val="auto"/>
                <w:w w:val="99"/>
              </w:rPr>
              <w:t>99%</w:t>
            </w:r>
          </w:p>
        </w:tc>
        <w:tc>
          <w:tcPr>
            <w:tcW w:w="0" w:type="dxa"/>
            <w:vAlign w:val="bottom"/>
          </w:tcPr>
          <w:p>
            <w:pPr>
              <w:spacing w:after="0"/>
              <w:rPr>
                <w:sz w:val="1"/>
                <w:szCs w:val="1"/>
                <w:color w:val="auto"/>
              </w:rPr>
            </w:pPr>
          </w:p>
        </w:tc>
      </w:tr>
      <w:tr>
        <w:trPr>
          <w:trHeight w:val="218"/>
        </w:trPr>
        <w:tc>
          <w:tcPr>
            <w:tcW w:w="2300" w:type="dxa"/>
            <w:vAlign w:val="bottom"/>
            <w:tcBorders>
              <w:left w:val="single" w:sz="8" w:color="999999"/>
              <w:right w:val="single" w:sz="8" w:color="A5A5A5"/>
            </w:tcBorders>
          </w:tcPr>
          <w:p>
            <w:pPr>
              <w:spacing w:after="0"/>
              <w:rPr>
                <w:sz w:val="18"/>
                <w:szCs w:val="18"/>
                <w:color w:val="auto"/>
              </w:rPr>
            </w:pPr>
          </w:p>
        </w:tc>
        <w:tc>
          <w:tcPr>
            <w:tcW w:w="3200" w:type="dxa"/>
            <w:vAlign w:val="bottom"/>
            <w:tcBorders>
              <w:right w:val="single" w:sz="8" w:color="A5A5A5"/>
            </w:tcBorders>
          </w:tcPr>
          <w:p>
            <w:pPr>
              <w:ind w:left="20"/>
              <w:spacing w:after="0"/>
              <w:rPr>
                <w:sz w:val="20"/>
                <w:szCs w:val="20"/>
                <w:color w:val="auto"/>
              </w:rPr>
            </w:pPr>
            <w:r>
              <w:rPr>
                <w:rFonts w:ascii="Arial" w:cs="Arial" w:eastAsia="Arial" w:hAnsi="Arial"/>
                <w:sz w:val="16"/>
                <w:szCs w:val="16"/>
                <w:b w:val="1"/>
                <w:bCs w:val="1"/>
                <w:color w:val="auto"/>
              </w:rPr>
              <w:t>Asset-Based</w:t>
            </w: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Cash balances</w:t>
            </w:r>
          </w:p>
        </w:tc>
        <w:tc>
          <w:tcPr>
            <w:tcW w:w="1140" w:type="dxa"/>
            <w:vAlign w:val="bottom"/>
            <w:tcBorders>
              <w:right w:val="single" w:sz="8" w:color="A5A5A5"/>
            </w:tcBorders>
          </w:tcPr>
          <w:p>
            <w:pPr>
              <w:spacing w:after="0"/>
              <w:rPr>
                <w:sz w:val="18"/>
                <w:szCs w:val="18"/>
                <w:color w:val="auto"/>
              </w:rPr>
            </w:pPr>
          </w:p>
        </w:tc>
        <w:tc>
          <w:tcPr>
            <w:tcW w:w="1120" w:type="dxa"/>
            <w:vAlign w:val="bottom"/>
            <w:tcBorders>
              <w:right w:val="single" w:sz="8" w:color="A5A5A5"/>
            </w:tcBorders>
          </w:tcPr>
          <w:p>
            <w:pPr>
              <w:spacing w:after="0"/>
              <w:rPr>
                <w:sz w:val="18"/>
                <w:szCs w:val="18"/>
                <w:color w:val="auto"/>
              </w:rPr>
            </w:pPr>
          </w:p>
        </w:tc>
        <w:tc>
          <w:tcPr>
            <w:tcW w:w="1140" w:type="dxa"/>
            <w:vAlign w:val="bottom"/>
            <w:tcBorders>
              <w:right w:val="single" w:sz="8" w:color="A5A5A5"/>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999999"/>
              <w:right w:val="single" w:sz="8" w:color="A5A5A5"/>
            </w:tcBorders>
          </w:tcPr>
          <w:p>
            <w:pPr>
              <w:spacing w:after="0"/>
              <w:rPr>
                <w:sz w:val="16"/>
                <w:szCs w:val="16"/>
                <w:color w:val="auto"/>
              </w:rPr>
            </w:pPr>
          </w:p>
        </w:tc>
        <w:tc>
          <w:tcPr>
            <w:tcW w:w="320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Cash Sweep Fees</w:t>
            </w: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Interest rates</w:t>
            </w:r>
          </w:p>
        </w:tc>
        <w:tc>
          <w:tcPr>
            <w:tcW w:w="11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$477</w:t>
            </w:r>
          </w:p>
        </w:tc>
        <w:tc>
          <w:tcPr>
            <w:tcW w:w="11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w w:val="99"/>
              </w:rPr>
              <w:t>11%</w:t>
            </w:r>
          </w:p>
        </w:tc>
        <w:tc>
          <w:tcPr>
            <w:tcW w:w="11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w w:val="99"/>
              </w:rPr>
              <w:t>97%</w:t>
            </w:r>
          </w:p>
        </w:tc>
        <w:tc>
          <w:tcPr>
            <w:tcW w:w="0" w:type="dxa"/>
            <w:vAlign w:val="bottom"/>
          </w:tcPr>
          <w:p>
            <w:pPr>
              <w:spacing w:after="0"/>
              <w:rPr>
                <w:sz w:val="1"/>
                <w:szCs w:val="1"/>
                <w:color w:val="auto"/>
              </w:rPr>
            </w:pPr>
          </w:p>
        </w:tc>
      </w:tr>
      <w:tr>
        <w:trPr>
          <w:trHeight w:val="100"/>
        </w:trPr>
        <w:tc>
          <w:tcPr>
            <w:tcW w:w="2300" w:type="dxa"/>
            <w:vAlign w:val="bottom"/>
            <w:tcBorders>
              <w:left w:val="single" w:sz="8" w:color="999999"/>
              <w:right w:val="single" w:sz="8" w:color="A5A5A5"/>
            </w:tcBorders>
          </w:tcPr>
          <w:p>
            <w:pPr>
              <w:spacing w:after="0"/>
              <w:rPr>
                <w:sz w:val="8"/>
                <w:szCs w:val="8"/>
                <w:color w:val="auto"/>
              </w:rPr>
            </w:pPr>
          </w:p>
        </w:tc>
        <w:tc>
          <w:tcPr>
            <w:tcW w:w="32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Sponsorship Fees</w:t>
            </w:r>
          </w:p>
        </w:tc>
        <w:tc>
          <w:tcPr>
            <w:tcW w:w="25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Number of accounts</w:t>
            </w:r>
          </w:p>
        </w:tc>
        <w:tc>
          <w:tcPr>
            <w:tcW w:w="1140" w:type="dxa"/>
            <w:vAlign w:val="bottom"/>
            <w:tcBorders>
              <w:right w:val="single" w:sz="8" w:color="A5A5A5"/>
            </w:tcBorders>
            <w:vMerge w:val="continue"/>
          </w:tcPr>
          <w:p>
            <w:pPr>
              <w:spacing w:after="0"/>
              <w:rPr>
                <w:sz w:val="8"/>
                <w:szCs w:val="8"/>
                <w:color w:val="auto"/>
              </w:rPr>
            </w:pPr>
          </w:p>
        </w:tc>
        <w:tc>
          <w:tcPr>
            <w:tcW w:w="1120" w:type="dxa"/>
            <w:vAlign w:val="bottom"/>
            <w:tcBorders>
              <w:right w:val="single" w:sz="8" w:color="A5A5A5"/>
            </w:tcBorders>
            <w:vMerge w:val="continue"/>
          </w:tcPr>
          <w:p>
            <w:pPr>
              <w:spacing w:after="0"/>
              <w:rPr>
                <w:sz w:val="8"/>
                <w:szCs w:val="8"/>
                <w:color w:val="auto"/>
              </w:rPr>
            </w:pPr>
          </w:p>
        </w:tc>
        <w:tc>
          <w:tcPr>
            <w:tcW w:w="1140" w:type="dxa"/>
            <w:vAlign w:val="bottom"/>
            <w:tcBorders>
              <w:right w:val="single" w:sz="8" w:color="A5A5A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300" w:type="dxa"/>
            <w:vAlign w:val="bottom"/>
            <w:tcBorders>
              <w:left w:val="single" w:sz="8" w:color="999999"/>
              <w:right w:val="single" w:sz="8" w:color="A5A5A5"/>
            </w:tcBorders>
          </w:tcPr>
          <w:p>
            <w:pPr>
              <w:spacing w:after="0"/>
              <w:rPr>
                <w:sz w:val="7"/>
                <w:szCs w:val="7"/>
                <w:color w:val="auto"/>
              </w:rPr>
            </w:pPr>
          </w:p>
        </w:tc>
        <w:tc>
          <w:tcPr>
            <w:tcW w:w="3200" w:type="dxa"/>
            <w:vAlign w:val="bottom"/>
            <w:tcBorders>
              <w:right w:val="single" w:sz="8" w:color="A5A5A5"/>
            </w:tcBorders>
            <w:vMerge w:val="continue"/>
          </w:tcPr>
          <w:p>
            <w:pPr>
              <w:spacing w:after="0"/>
              <w:rPr>
                <w:sz w:val="7"/>
                <w:szCs w:val="7"/>
                <w:color w:val="auto"/>
              </w:rPr>
            </w:pPr>
          </w:p>
        </w:tc>
        <w:tc>
          <w:tcPr>
            <w:tcW w:w="2520" w:type="dxa"/>
            <w:vAlign w:val="bottom"/>
            <w:tcBorders>
              <w:right w:val="single" w:sz="8" w:color="A5A5A5"/>
            </w:tcBorders>
            <w:vMerge w:val="continue"/>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20" w:type="dxa"/>
            <w:vAlign w:val="bottom"/>
            <w:tcBorders>
              <w:right w:val="single" w:sz="8" w:color="A5A5A5"/>
            </w:tcBorders>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300" w:type="dxa"/>
            <w:vAlign w:val="bottom"/>
            <w:tcBorders>
              <w:left w:val="single" w:sz="8" w:color="999999"/>
              <w:right w:val="single" w:sz="8" w:color="A5A5A5"/>
            </w:tcBorders>
          </w:tcPr>
          <w:p>
            <w:pPr>
              <w:spacing w:after="0"/>
              <w:rPr>
                <w:sz w:val="18"/>
                <w:szCs w:val="18"/>
                <w:color w:val="auto"/>
              </w:rPr>
            </w:pPr>
          </w:p>
        </w:tc>
        <w:tc>
          <w:tcPr>
            <w:tcW w:w="320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6"/>
                <w:szCs w:val="16"/>
                <w:color w:val="auto"/>
              </w:rPr>
              <w:t>- Record Keeping</w:t>
            </w:r>
          </w:p>
        </w:tc>
        <w:tc>
          <w:tcPr>
            <w:tcW w:w="25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6"/>
                <w:szCs w:val="16"/>
                <w:color w:val="auto"/>
              </w:rPr>
              <w:t>- Client asset levels</w:t>
            </w:r>
          </w:p>
        </w:tc>
        <w:tc>
          <w:tcPr>
            <w:tcW w:w="1140" w:type="dxa"/>
            <w:vAlign w:val="bottom"/>
            <w:tcBorders>
              <w:bottom w:val="single" w:sz="8" w:color="A5A5A5"/>
              <w:right w:val="single" w:sz="8" w:color="A5A5A5"/>
            </w:tcBorders>
          </w:tcPr>
          <w:p>
            <w:pPr>
              <w:spacing w:after="0"/>
              <w:rPr>
                <w:sz w:val="18"/>
                <w:szCs w:val="18"/>
                <w:color w:val="auto"/>
              </w:rPr>
            </w:pPr>
          </w:p>
        </w:tc>
        <w:tc>
          <w:tcPr>
            <w:tcW w:w="1120" w:type="dxa"/>
            <w:vAlign w:val="bottom"/>
            <w:tcBorders>
              <w:bottom w:val="single" w:sz="8" w:color="A5A5A5"/>
              <w:right w:val="single" w:sz="8" w:color="A5A5A5"/>
            </w:tcBorders>
          </w:tcPr>
          <w:p>
            <w:pPr>
              <w:spacing w:after="0"/>
              <w:rPr>
                <w:sz w:val="18"/>
                <w:szCs w:val="18"/>
                <w:color w:val="auto"/>
              </w:rPr>
            </w:pPr>
          </w:p>
        </w:tc>
        <w:tc>
          <w:tcPr>
            <w:tcW w:w="1140" w:type="dxa"/>
            <w:vAlign w:val="bottom"/>
            <w:tcBorders>
              <w:bottom w:val="single" w:sz="8" w:color="A5A5A5"/>
              <w:right w:val="single" w:sz="8" w:color="A5A5A5"/>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999999"/>
              <w:right w:val="single" w:sz="8" w:color="A5A5A5"/>
            </w:tcBorders>
          </w:tcPr>
          <w:p>
            <w:pPr>
              <w:spacing w:after="0"/>
              <w:rPr>
                <w:sz w:val="18"/>
                <w:szCs w:val="18"/>
                <w:color w:val="auto"/>
              </w:rPr>
            </w:pPr>
          </w:p>
        </w:tc>
        <w:tc>
          <w:tcPr>
            <w:tcW w:w="3200" w:type="dxa"/>
            <w:vAlign w:val="bottom"/>
            <w:tcBorders>
              <w:right w:val="single" w:sz="8" w:color="A5A5A5"/>
            </w:tcBorders>
          </w:tcPr>
          <w:p>
            <w:pPr>
              <w:ind w:left="20"/>
              <w:spacing w:after="0"/>
              <w:rPr>
                <w:sz w:val="20"/>
                <w:szCs w:val="20"/>
                <w:color w:val="auto"/>
              </w:rPr>
            </w:pPr>
            <w:r>
              <w:rPr>
                <w:rFonts w:ascii="Arial" w:cs="Arial" w:eastAsia="Arial" w:hAnsi="Arial"/>
                <w:sz w:val="16"/>
                <w:szCs w:val="16"/>
                <w:b w:val="1"/>
                <w:bCs w:val="1"/>
                <w:color w:val="auto"/>
              </w:rPr>
              <w:t>Transaction and Fee</w:t>
            </w: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Client activity</w:t>
            </w:r>
          </w:p>
        </w:tc>
        <w:tc>
          <w:tcPr>
            <w:tcW w:w="1140" w:type="dxa"/>
            <w:vAlign w:val="bottom"/>
            <w:tcBorders>
              <w:right w:val="single" w:sz="8" w:color="A5A5A5"/>
            </w:tcBorders>
          </w:tcPr>
          <w:p>
            <w:pPr>
              <w:spacing w:after="0"/>
              <w:rPr>
                <w:sz w:val="18"/>
                <w:szCs w:val="18"/>
                <w:color w:val="auto"/>
              </w:rPr>
            </w:pPr>
          </w:p>
        </w:tc>
        <w:tc>
          <w:tcPr>
            <w:tcW w:w="1120" w:type="dxa"/>
            <w:vAlign w:val="bottom"/>
            <w:tcBorders>
              <w:right w:val="single" w:sz="8" w:color="A5A5A5"/>
            </w:tcBorders>
          </w:tcPr>
          <w:p>
            <w:pPr>
              <w:spacing w:after="0"/>
              <w:rPr>
                <w:sz w:val="18"/>
                <w:szCs w:val="18"/>
                <w:color w:val="auto"/>
              </w:rPr>
            </w:pPr>
          </w:p>
        </w:tc>
        <w:tc>
          <w:tcPr>
            <w:tcW w:w="1140" w:type="dxa"/>
            <w:vAlign w:val="bottom"/>
            <w:tcBorders>
              <w:right w:val="single" w:sz="8" w:color="A5A5A5"/>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Attachment revenue</w:t>
            </w:r>
          </w:p>
        </w:tc>
        <w:tc>
          <w:tcPr>
            <w:tcW w:w="320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Transactions</w:t>
            </w: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Number of clients</w:t>
            </w: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00" w:type="dxa"/>
            <w:vAlign w:val="bottom"/>
            <w:tcBorders>
              <w:left w:val="single" w:sz="8" w:color="999999"/>
              <w:right w:val="single" w:sz="8" w:color="A5A5A5"/>
            </w:tcBorders>
            <w:vMerge w:val="continue"/>
          </w:tcPr>
          <w:p>
            <w:pPr>
              <w:spacing w:after="0"/>
              <w:rPr>
                <w:sz w:val="8"/>
                <w:szCs w:val="8"/>
                <w:color w:val="auto"/>
              </w:rPr>
            </w:pPr>
          </w:p>
        </w:tc>
        <w:tc>
          <w:tcPr>
            <w:tcW w:w="32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Client (Investor) Accounts</w:t>
            </w:r>
          </w:p>
        </w:tc>
        <w:tc>
          <w:tcPr>
            <w:tcW w:w="25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Number of advisors</w:t>
            </w:r>
          </w:p>
        </w:tc>
        <w:tc>
          <w:tcPr>
            <w:tcW w:w="1140" w:type="dxa"/>
            <w:vAlign w:val="bottom"/>
            <w:tcBorders>
              <w:right w:val="single" w:sz="8" w:color="A5A5A5"/>
            </w:tcBorders>
          </w:tcPr>
          <w:p>
            <w:pPr>
              <w:spacing w:after="0"/>
              <w:rPr>
                <w:sz w:val="8"/>
                <w:szCs w:val="8"/>
                <w:color w:val="auto"/>
              </w:rPr>
            </w:pPr>
          </w:p>
        </w:tc>
        <w:tc>
          <w:tcPr>
            <w:tcW w:w="1120" w:type="dxa"/>
            <w:vAlign w:val="bottom"/>
            <w:tcBorders>
              <w:right w:val="single" w:sz="8" w:color="A5A5A5"/>
            </w:tcBorders>
          </w:tcPr>
          <w:p>
            <w:pPr>
              <w:spacing w:after="0"/>
              <w:rPr>
                <w:sz w:val="8"/>
                <w:szCs w:val="8"/>
                <w:color w:val="auto"/>
              </w:rPr>
            </w:pPr>
          </w:p>
        </w:tc>
        <w:tc>
          <w:tcPr>
            <w:tcW w:w="1140" w:type="dxa"/>
            <w:vAlign w:val="bottom"/>
            <w:tcBorders>
              <w:right w:val="single" w:sz="8" w:color="A5A5A5"/>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3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retained by us</w:t>
            </w:r>
          </w:p>
        </w:tc>
        <w:tc>
          <w:tcPr>
            <w:tcW w:w="3200" w:type="dxa"/>
            <w:vAlign w:val="bottom"/>
            <w:tcBorders>
              <w:right w:val="single" w:sz="8" w:color="A5A5A5"/>
            </w:tcBorders>
            <w:vMerge w:val="continue"/>
          </w:tcPr>
          <w:p>
            <w:pPr>
              <w:spacing w:after="0"/>
              <w:rPr>
                <w:sz w:val="8"/>
                <w:szCs w:val="8"/>
                <w:color w:val="auto"/>
              </w:rPr>
            </w:pPr>
          </w:p>
        </w:tc>
        <w:tc>
          <w:tcPr>
            <w:tcW w:w="2520" w:type="dxa"/>
            <w:vAlign w:val="bottom"/>
            <w:tcBorders>
              <w:right w:val="single" w:sz="8" w:color="A5A5A5"/>
            </w:tcBorders>
            <w:vMerge w:val="continue"/>
          </w:tcPr>
          <w:p>
            <w:pPr>
              <w:spacing w:after="0"/>
              <w:rPr>
                <w:sz w:val="8"/>
                <w:szCs w:val="8"/>
                <w:color w:val="auto"/>
              </w:rPr>
            </w:pPr>
          </w:p>
        </w:tc>
        <w:tc>
          <w:tcPr>
            <w:tcW w:w="11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$370</w:t>
            </w:r>
          </w:p>
        </w:tc>
        <w:tc>
          <w:tcPr>
            <w:tcW w:w="11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rPr>
              <w:t>8%</w:t>
            </w:r>
          </w:p>
        </w:tc>
        <w:tc>
          <w:tcPr>
            <w:tcW w:w="11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6"/>
                <w:szCs w:val="16"/>
                <w:color w:val="auto"/>
                <w:w w:val="99"/>
              </w:rPr>
              <w:t>63%</w:t>
            </w:r>
          </w:p>
        </w:tc>
        <w:tc>
          <w:tcPr>
            <w:tcW w:w="0" w:type="dxa"/>
            <w:vAlign w:val="bottom"/>
          </w:tcPr>
          <w:p>
            <w:pPr>
              <w:spacing w:after="0"/>
              <w:rPr>
                <w:sz w:val="1"/>
                <w:szCs w:val="1"/>
                <w:color w:val="auto"/>
              </w:rPr>
            </w:pPr>
          </w:p>
        </w:tc>
      </w:tr>
      <w:tr>
        <w:trPr>
          <w:trHeight w:val="100"/>
        </w:trPr>
        <w:tc>
          <w:tcPr>
            <w:tcW w:w="2300" w:type="dxa"/>
            <w:vAlign w:val="bottom"/>
            <w:tcBorders>
              <w:left w:val="single" w:sz="8" w:color="999999"/>
              <w:right w:val="single" w:sz="8" w:color="A5A5A5"/>
            </w:tcBorders>
            <w:vMerge w:val="continue"/>
          </w:tcPr>
          <w:p>
            <w:pPr>
              <w:spacing w:after="0"/>
              <w:rPr>
                <w:sz w:val="8"/>
                <w:szCs w:val="8"/>
                <w:color w:val="auto"/>
              </w:rPr>
            </w:pPr>
          </w:p>
        </w:tc>
        <w:tc>
          <w:tcPr>
            <w:tcW w:w="320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Advisor Seat and Technology</w:t>
            </w:r>
          </w:p>
        </w:tc>
        <w:tc>
          <w:tcPr>
            <w:tcW w:w="25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6"/>
                <w:szCs w:val="16"/>
                <w:color w:val="auto"/>
              </w:rPr>
              <w:t>- Number of accounts</w:t>
            </w:r>
          </w:p>
        </w:tc>
        <w:tc>
          <w:tcPr>
            <w:tcW w:w="1140" w:type="dxa"/>
            <w:vAlign w:val="bottom"/>
            <w:tcBorders>
              <w:right w:val="single" w:sz="8" w:color="A5A5A5"/>
            </w:tcBorders>
            <w:vMerge w:val="continue"/>
          </w:tcPr>
          <w:p>
            <w:pPr>
              <w:spacing w:after="0"/>
              <w:rPr>
                <w:sz w:val="8"/>
                <w:szCs w:val="8"/>
                <w:color w:val="auto"/>
              </w:rPr>
            </w:pPr>
          </w:p>
        </w:tc>
        <w:tc>
          <w:tcPr>
            <w:tcW w:w="1120" w:type="dxa"/>
            <w:vAlign w:val="bottom"/>
            <w:tcBorders>
              <w:right w:val="single" w:sz="8" w:color="A5A5A5"/>
            </w:tcBorders>
            <w:vMerge w:val="continue"/>
          </w:tcPr>
          <w:p>
            <w:pPr>
              <w:spacing w:after="0"/>
              <w:rPr>
                <w:sz w:val="8"/>
                <w:szCs w:val="8"/>
                <w:color w:val="auto"/>
              </w:rPr>
            </w:pPr>
          </w:p>
        </w:tc>
        <w:tc>
          <w:tcPr>
            <w:tcW w:w="1140" w:type="dxa"/>
            <w:vAlign w:val="bottom"/>
            <w:tcBorders>
              <w:right w:val="single" w:sz="8" w:color="A5A5A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300" w:type="dxa"/>
            <w:vAlign w:val="bottom"/>
            <w:tcBorders>
              <w:left w:val="single" w:sz="8" w:color="999999"/>
              <w:right w:val="single" w:sz="8" w:color="A5A5A5"/>
            </w:tcBorders>
          </w:tcPr>
          <w:p>
            <w:pPr>
              <w:spacing w:after="0"/>
              <w:rPr>
                <w:sz w:val="7"/>
                <w:szCs w:val="7"/>
                <w:color w:val="auto"/>
              </w:rPr>
            </w:pPr>
          </w:p>
        </w:tc>
        <w:tc>
          <w:tcPr>
            <w:tcW w:w="3200" w:type="dxa"/>
            <w:vAlign w:val="bottom"/>
            <w:tcBorders>
              <w:right w:val="single" w:sz="8" w:color="A5A5A5"/>
            </w:tcBorders>
            <w:vMerge w:val="continue"/>
          </w:tcPr>
          <w:p>
            <w:pPr>
              <w:spacing w:after="0"/>
              <w:rPr>
                <w:sz w:val="7"/>
                <w:szCs w:val="7"/>
                <w:color w:val="auto"/>
              </w:rPr>
            </w:pPr>
          </w:p>
        </w:tc>
        <w:tc>
          <w:tcPr>
            <w:tcW w:w="2520" w:type="dxa"/>
            <w:vAlign w:val="bottom"/>
            <w:tcBorders>
              <w:right w:val="single" w:sz="8" w:color="A5A5A5"/>
            </w:tcBorders>
            <w:vMerge w:val="continue"/>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1120" w:type="dxa"/>
            <w:vAlign w:val="bottom"/>
            <w:tcBorders>
              <w:right w:val="single" w:sz="8" w:color="A5A5A5"/>
            </w:tcBorders>
          </w:tcPr>
          <w:p>
            <w:pPr>
              <w:spacing w:after="0"/>
              <w:rPr>
                <w:sz w:val="7"/>
                <w:szCs w:val="7"/>
                <w:color w:val="auto"/>
              </w:rPr>
            </w:pPr>
          </w:p>
        </w:tc>
        <w:tc>
          <w:tcPr>
            <w:tcW w:w="1140" w:type="dxa"/>
            <w:vAlign w:val="bottom"/>
            <w:tcBorders>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999999"/>
              <w:right w:val="single" w:sz="8" w:color="A5A5A5"/>
            </w:tcBorders>
          </w:tcPr>
          <w:p>
            <w:pPr>
              <w:spacing w:after="0"/>
              <w:rPr>
                <w:sz w:val="16"/>
                <w:szCs w:val="16"/>
                <w:color w:val="auto"/>
              </w:rPr>
            </w:pPr>
          </w:p>
        </w:tc>
        <w:tc>
          <w:tcPr>
            <w:tcW w:w="3200" w:type="dxa"/>
            <w:vAlign w:val="bottom"/>
            <w:tcBorders>
              <w:right w:val="single" w:sz="8" w:color="A5A5A5"/>
            </w:tcBorders>
          </w:tcPr>
          <w:p>
            <w:pPr>
              <w:spacing w:after="0"/>
              <w:rPr>
                <w:sz w:val="16"/>
                <w:szCs w:val="16"/>
                <w:color w:val="auto"/>
              </w:rPr>
            </w:pP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Premium technology</w:t>
            </w:r>
          </w:p>
        </w:tc>
        <w:tc>
          <w:tcPr>
            <w:tcW w:w="1140" w:type="dxa"/>
            <w:vAlign w:val="bottom"/>
            <w:tcBorders>
              <w:right w:val="single" w:sz="8" w:color="A5A5A5"/>
            </w:tcBorders>
          </w:tcPr>
          <w:p>
            <w:pPr>
              <w:spacing w:after="0"/>
              <w:rPr>
                <w:sz w:val="16"/>
                <w:szCs w:val="16"/>
                <w:color w:val="auto"/>
              </w:rPr>
            </w:pPr>
          </w:p>
        </w:tc>
        <w:tc>
          <w:tcPr>
            <w:tcW w:w="1120" w:type="dxa"/>
            <w:vAlign w:val="bottom"/>
            <w:tcBorders>
              <w:right w:val="single" w:sz="8" w:color="A5A5A5"/>
            </w:tcBorders>
          </w:tcPr>
          <w:p>
            <w:pPr>
              <w:spacing w:after="0"/>
              <w:rPr>
                <w:sz w:val="16"/>
                <w:szCs w:val="16"/>
                <w:color w:val="auto"/>
              </w:rPr>
            </w:pPr>
          </w:p>
        </w:tc>
        <w:tc>
          <w:tcPr>
            <w:tcW w:w="114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00" w:type="dxa"/>
            <w:vAlign w:val="bottom"/>
            <w:tcBorders>
              <w:left w:val="single" w:sz="8" w:color="999999"/>
              <w:right w:val="single" w:sz="8" w:color="A5A5A5"/>
            </w:tcBorders>
          </w:tcPr>
          <w:p>
            <w:pPr>
              <w:spacing w:after="0"/>
              <w:rPr>
                <w:sz w:val="18"/>
                <w:szCs w:val="18"/>
                <w:color w:val="auto"/>
              </w:rPr>
            </w:pPr>
          </w:p>
        </w:tc>
        <w:tc>
          <w:tcPr>
            <w:tcW w:w="3200" w:type="dxa"/>
            <w:vAlign w:val="bottom"/>
            <w:tcBorders>
              <w:bottom w:val="single" w:sz="8" w:color="A5A5A5"/>
              <w:right w:val="single" w:sz="8" w:color="A5A5A5"/>
            </w:tcBorders>
          </w:tcPr>
          <w:p>
            <w:pPr>
              <w:spacing w:after="0"/>
              <w:rPr>
                <w:sz w:val="18"/>
                <w:szCs w:val="18"/>
                <w:color w:val="auto"/>
              </w:rPr>
            </w:pPr>
          </w:p>
        </w:tc>
        <w:tc>
          <w:tcPr>
            <w:tcW w:w="2520" w:type="dxa"/>
            <w:vAlign w:val="bottom"/>
            <w:tcBorders>
              <w:bottom w:val="single" w:sz="8" w:color="A5A5A5"/>
              <w:right w:val="single" w:sz="8" w:color="A5A5A5"/>
            </w:tcBorders>
          </w:tcPr>
          <w:p>
            <w:pPr>
              <w:ind w:left="180"/>
              <w:spacing w:after="0"/>
              <w:rPr>
                <w:sz w:val="20"/>
                <w:szCs w:val="20"/>
                <w:color w:val="auto"/>
              </w:rPr>
            </w:pPr>
            <w:r>
              <w:rPr>
                <w:rFonts w:ascii="Arial" w:cs="Arial" w:eastAsia="Arial" w:hAnsi="Arial"/>
                <w:sz w:val="16"/>
                <w:szCs w:val="16"/>
                <w:color w:val="auto"/>
              </w:rPr>
              <w:t>subscribers</w:t>
            </w:r>
          </w:p>
        </w:tc>
        <w:tc>
          <w:tcPr>
            <w:tcW w:w="1140" w:type="dxa"/>
            <w:vAlign w:val="bottom"/>
            <w:tcBorders>
              <w:bottom w:val="single" w:sz="8" w:color="A5A5A5"/>
              <w:right w:val="single" w:sz="8" w:color="A5A5A5"/>
            </w:tcBorders>
          </w:tcPr>
          <w:p>
            <w:pPr>
              <w:spacing w:after="0"/>
              <w:rPr>
                <w:sz w:val="18"/>
                <w:szCs w:val="18"/>
                <w:color w:val="auto"/>
              </w:rPr>
            </w:pPr>
          </w:p>
        </w:tc>
        <w:tc>
          <w:tcPr>
            <w:tcW w:w="1120" w:type="dxa"/>
            <w:vAlign w:val="bottom"/>
            <w:tcBorders>
              <w:bottom w:val="single" w:sz="8" w:color="A5A5A5"/>
              <w:right w:val="single" w:sz="8" w:color="A5A5A5"/>
            </w:tcBorders>
          </w:tcPr>
          <w:p>
            <w:pPr>
              <w:spacing w:after="0"/>
              <w:rPr>
                <w:sz w:val="18"/>
                <w:szCs w:val="18"/>
                <w:color w:val="auto"/>
              </w:rPr>
            </w:pPr>
          </w:p>
        </w:tc>
        <w:tc>
          <w:tcPr>
            <w:tcW w:w="1140" w:type="dxa"/>
            <w:vAlign w:val="bottom"/>
            <w:tcBorders>
              <w:bottom w:val="single" w:sz="8" w:color="A5A5A5"/>
              <w:right w:val="single" w:sz="8" w:color="A5A5A5"/>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300" w:type="dxa"/>
            <w:vAlign w:val="bottom"/>
            <w:tcBorders>
              <w:left w:val="single" w:sz="8" w:color="999999"/>
              <w:right w:val="single" w:sz="8" w:color="A5A5A5"/>
            </w:tcBorders>
          </w:tcPr>
          <w:p>
            <w:pPr>
              <w:spacing w:after="0"/>
              <w:rPr>
                <w:sz w:val="18"/>
                <w:szCs w:val="18"/>
                <w:color w:val="auto"/>
              </w:rPr>
            </w:pPr>
          </w:p>
        </w:tc>
        <w:tc>
          <w:tcPr>
            <w:tcW w:w="3200" w:type="dxa"/>
            <w:vAlign w:val="bottom"/>
            <w:tcBorders>
              <w:right w:val="single" w:sz="8" w:color="A5A5A5"/>
            </w:tcBorders>
          </w:tcPr>
          <w:p>
            <w:pPr>
              <w:ind w:left="20"/>
              <w:spacing w:after="0"/>
              <w:rPr>
                <w:sz w:val="20"/>
                <w:szCs w:val="20"/>
                <w:color w:val="auto"/>
              </w:rPr>
            </w:pPr>
            <w:r>
              <w:rPr>
                <w:rFonts w:ascii="Arial" w:cs="Arial" w:eastAsia="Arial" w:hAnsi="Arial"/>
                <w:sz w:val="16"/>
                <w:szCs w:val="16"/>
                <w:b w:val="1"/>
                <w:bCs w:val="1"/>
                <w:color w:val="auto"/>
              </w:rPr>
              <w:t>Other</w:t>
            </w: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Margin accounts</w:t>
            </w:r>
          </w:p>
        </w:tc>
        <w:tc>
          <w:tcPr>
            <w:tcW w:w="1140" w:type="dxa"/>
            <w:vAlign w:val="bottom"/>
            <w:tcBorders>
              <w:right w:val="single" w:sz="8" w:color="A5A5A5"/>
            </w:tcBorders>
          </w:tcPr>
          <w:p>
            <w:pPr>
              <w:spacing w:after="0"/>
              <w:rPr>
                <w:sz w:val="18"/>
                <w:szCs w:val="18"/>
                <w:color w:val="auto"/>
              </w:rPr>
            </w:pPr>
          </w:p>
        </w:tc>
        <w:tc>
          <w:tcPr>
            <w:tcW w:w="1120" w:type="dxa"/>
            <w:vAlign w:val="bottom"/>
            <w:tcBorders>
              <w:right w:val="single" w:sz="8" w:color="A5A5A5"/>
            </w:tcBorders>
          </w:tcPr>
          <w:p>
            <w:pPr>
              <w:spacing w:after="0"/>
              <w:rPr>
                <w:sz w:val="18"/>
                <w:szCs w:val="18"/>
                <w:color w:val="auto"/>
              </w:rPr>
            </w:pPr>
          </w:p>
        </w:tc>
        <w:tc>
          <w:tcPr>
            <w:tcW w:w="1140" w:type="dxa"/>
            <w:vAlign w:val="bottom"/>
            <w:tcBorders>
              <w:right w:val="single" w:sz="8" w:color="A5A5A5"/>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300" w:type="dxa"/>
            <w:vAlign w:val="bottom"/>
            <w:tcBorders>
              <w:left w:val="single" w:sz="8" w:color="999999"/>
              <w:right w:val="single" w:sz="8" w:color="A5A5A5"/>
            </w:tcBorders>
          </w:tcPr>
          <w:p>
            <w:pPr>
              <w:spacing w:after="0"/>
              <w:rPr>
                <w:sz w:val="16"/>
                <w:szCs w:val="16"/>
                <w:color w:val="auto"/>
              </w:rPr>
            </w:pPr>
          </w:p>
        </w:tc>
        <w:tc>
          <w:tcPr>
            <w:tcW w:w="3200" w:type="dxa"/>
            <w:vAlign w:val="bottom"/>
            <w:tcBorders>
              <w:right w:val="single" w:sz="8" w:color="A5A5A5"/>
            </w:tcBorders>
          </w:tcPr>
          <w:p>
            <w:pPr>
              <w:spacing w:after="0"/>
              <w:rPr>
                <w:sz w:val="16"/>
                <w:szCs w:val="16"/>
                <w:color w:val="auto"/>
              </w:rPr>
            </w:pPr>
          </w:p>
        </w:tc>
        <w:tc>
          <w:tcPr>
            <w:tcW w:w="2520" w:type="dxa"/>
            <w:vAlign w:val="bottom"/>
            <w:tcBorders>
              <w:right w:val="single" w:sz="8" w:color="A5A5A5"/>
            </w:tcBorders>
          </w:tcPr>
          <w:p>
            <w:pPr>
              <w:ind w:left="20"/>
              <w:spacing w:after="0"/>
              <w:rPr>
                <w:sz w:val="20"/>
                <w:szCs w:val="20"/>
                <w:color w:val="auto"/>
              </w:rPr>
            </w:pPr>
            <w:r>
              <w:rPr>
                <w:rFonts w:ascii="Arial" w:cs="Arial" w:eastAsia="Arial" w:hAnsi="Arial"/>
                <w:sz w:val="16"/>
                <w:szCs w:val="16"/>
                <w:color w:val="auto"/>
              </w:rPr>
              <w:t>- Alternative investment</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$71</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2%</w:t>
            </w: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9"/>
              </w:rPr>
              <w:t>32%</w:t>
            </w:r>
          </w:p>
        </w:tc>
        <w:tc>
          <w:tcPr>
            <w:tcW w:w="0" w:type="dxa"/>
            <w:vAlign w:val="bottom"/>
          </w:tcPr>
          <w:p>
            <w:pPr>
              <w:spacing w:after="0"/>
              <w:rPr>
                <w:sz w:val="1"/>
                <w:szCs w:val="1"/>
                <w:color w:val="auto"/>
              </w:rPr>
            </w:pPr>
          </w:p>
        </w:tc>
      </w:tr>
      <w:tr>
        <w:trPr>
          <w:trHeight w:val="208"/>
        </w:trPr>
        <w:tc>
          <w:tcPr>
            <w:tcW w:w="2300" w:type="dxa"/>
            <w:vAlign w:val="bottom"/>
            <w:tcBorders>
              <w:left w:val="single" w:sz="8" w:color="999999"/>
              <w:bottom w:val="single" w:sz="8" w:color="999999"/>
              <w:right w:val="single" w:sz="8" w:color="A5A5A5"/>
            </w:tcBorders>
          </w:tcPr>
          <w:p>
            <w:pPr>
              <w:spacing w:after="0"/>
              <w:rPr>
                <w:sz w:val="18"/>
                <w:szCs w:val="18"/>
                <w:color w:val="auto"/>
              </w:rPr>
            </w:pPr>
          </w:p>
        </w:tc>
        <w:tc>
          <w:tcPr>
            <w:tcW w:w="3200" w:type="dxa"/>
            <w:vAlign w:val="bottom"/>
            <w:tcBorders>
              <w:bottom w:val="single" w:sz="8" w:color="A5A5A5"/>
              <w:right w:val="single" w:sz="8" w:color="A5A5A5"/>
            </w:tcBorders>
          </w:tcPr>
          <w:p>
            <w:pPr>
              <w:spacing w:after="0"/>
              <w:rPr>
                <w:sz w:val="18"/>
                <w:szCs w:val="18"/>
                <w:color w:val="auto"/>
              </w:rPr>
            </w:pPr>
          </w:p>
        </w:tc>
        <w:tc>
          <w:tcPr>
            <w:tcW w:w="2520" w:type="dxa"/>
            <w:vAlign w:val="bottom"/>
            <w:tcBorders>
              <w:bottom w:val="single" w:sz="8" w:color="A5A5A5"/>
              <w:right w:val="single" w:sz="8" w:color="A5A5A5"/>
            </w:tcBorders>
          </w:tcPr>
          <w:p>
            <w:pPr>
              <w:ind w:left="180"/>
              <w:spacing w:after="0"/>
              <w:rPr>
                <w:sz w:val="20"/>
                <w:szCs w:val="20"/>
                <w:color w:val="auto"/>
              </w:rPr>
            </w:pPr>
            <w:r>
              <w:rPr>
                <w:rFonts w:ascii="Arial" w:cs="Arial" w:eastAsia="Arial" w:hAnsi="Arial"/>
                <w:sz w:val="16"/>
                <w:szCs w:val="16"/>
                <w:color w:val="auto"/>
              </w:rPr>
              <w:t>transactions</w:t>
            </w:r>
          </w:p>
        </w:tc>
        <w:tc>
          <w:tcPr>
            <w:tcW w:w="1140" w:type="dxa"/>
            <w:vAlign w:val="bottom"/>
            <w:tcBorders>
              <w:bottom w:val="single" w:sz="8" w:color="A5A5A5"/>
              <w:right w:val="single" w:sz="8" w:color="A5A5A5"/>
            </w:tcBorders>
          </w:tcPr>
          <w:p>
            <w:pPr>
              <w:spacing w:after="0"/>
              <w:rPr>
                <w:sz w:val="18"/>
                <w:szCs w:val="18"/>
                <w:color w:val="auto"/>
              </w:rPr>
            </w:pPr>
          </w:p>
        </w:tc>
        <w:tc>
          <w:tcPr>
            <w:tcW w:w="1120" w:type="dxa"/>
            <w:vAlign w:val="bottom"/>
            <w:tcBorders>
              <w:bottom w:val="single" w:sz="8" w:color="A5A5A5"/>
              <w:right w:val="single" w:sz="8" w:color="A5A5A5"/>
            </w:tcBorders>
          </w:tcPr>
          <w:p>
            <w:pPr>
              <w:spacing w:after="0"/>
              <w:rPr>
                <w:sz w:val="18"/>
                <w:szCs w:val="18"/>
                <w:color w:val="auto"/>
              </w:rPr>
            </w:pPr>
          </w:p>
        </w:tc>
        <w:tc>
          <w:tcPr>
            <w:tcW w:w="1140" w:type="dxa"/>
            <w:vAlign w:val="bottom"/>
            <w:tcBorders>
              <w:bottom w:val="single" w:sz="8" w:color="ACACAC"/>
              <w:right w:val="single" w:sz="8" w:color="A5A5A5"/>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right w:val="single" w:sz="8" w:color="A5A5A5"/>
            </w:tcBorders>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Total Net Revenue</w:t>
            </w:r>
          </w:p>
        </w:tc>
        <w:tc>
          <w:tcPr>
            <w:tcW w:w="2520" w:type="dxa"/>
            <w:vAlign w:val="bottom"/>
            <w:tcBorders>
              <w:right w:val="single" w:sz="8" w:color="A5A5A5"/>
            </w:tcBorders>
          </w:tcPr>
          <w:p>
            <w:pPr>
              <w:spacing w:after="0"/>
              <w:rPr>
                <w:sz w:val="20"/>
                <w:szCs w:val="20"/>
                <w:color w:val="auto"/>
              </w:rPr>
            </w:pP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$4,374</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7"/>
              </w:rPr>
              <w:t>100%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right w:val="single" w:sz="8" w:color="A5A5A5"/>
            </w:tcBorders>
          </w:tcPr>
          <w:p>
            <w:pPr>
              <w:spacing w:after="0"/>
              <w:rPr>
                <w:sz w:val="2"/>
                <w:szCs w:val="2"/>
                <w:color w:val="auto"/>
              </w:rPr>
            </w:pPr>
          </w:p>
        </w:tc>
        <w:tc>
          <w:tcPr>
            <w:tcW w:w="3200" w:type="dxa"/>
            <w:vAlign w:val="bottom"/>
            <w:tcBorders>
              <w:bottom w:val="single" w:sz="8" w:color="A5A5A5"/>
            </w:tcBorders>
          </w:tcPr>
          <w:p>
            <w:pPr>
              <w:spacing w:after="0"/>
              <w:rPr>
                <w:sz w:val="2"/>
                <w:szCs w:val="2"/>
                <w:color w:val="auto"/>
              </w:rPr>
            </w:pPr>
          </w:p>
        </w:tc>
        <w:tc>
          <w:tcPr>
            <w:tcW w:w="2520" w:type="dxa"/>
            <w:vAlign w:val="bottom"/>
            <w:tcBorders>
              <w:bottom w:val="single" w:sz="8" w:color="A5A5A5"/>
              <w:right w:val="single" w:sz="8" w:color="A5A5A5"/>
            </w:tcBorders>
          </w:tcPr>
          <w:p>
            <w:pPr>
              <w:spacing w:after="0"/>
              <w:rPr>
                <w:sz w:val="2"/>
                <w:szCs w:val="2"/>
                <w:color w:val="auto"/>
              </w:rPr>
            </w:pPr>
          </w:p>
        </w:tc>
        <w:tc>
          <w:tcPr>
            <w:tcW w:w="1140" w:type="dxa"/>
            <w:vAlign w:val="bottom"/>
            <w:tcBorders>
              <w:bottom w:val="single" w:sz="8" w:color="A5A5A5"/>
              <w:right w:val="single" w:sz="8" w:color="A5A5A5"/>
            </w:tcBorders>
          </w:tcPr>
          <w:p>
            <w:pPr>
              <w:spacing w:after="0"/>
              <w:rPr>
                <w:sz w:val="2"/>
                <w:szCs w:val="2"/>
                <w:color w:val="auto"/>
              </w:rPr>
            </w:pPr>
          </w:p>
        </w:tc>
        <w:tc>
          <w:tcPr>
            <w:tcW w:w="1120" w:type="dxa"/>
            <w:vAlign w:val="bottom"/>
            <w:tcBorders>
              <w:bottom w:val="single" w:sz="8" w:color="A5A5A5"/>
              <w:right w:val="single" w:sz="8" w:color="A5A5A5"/>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Borders>
              <w:right w:val="single" w:sz="8" w:color="A5A5A5"/>
            </w:tcBorders>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Total Recurring Revenue</w:t>
            </w:r>
          </w:p>
        </w:tc>
        <w:tc>
          <w:tcPr>
            <w:tcW w:w="2520" w:type="dxa"/>
            <w:vAlign w:val="bottom"/>
            <w:tcBorders>
              <w:right w:val="single" w:sz="8" w:color="A5A5A5"/>
            </w:tcBorders>
          </w:tcPr>
          <w:p>
            <w:pPr>
              <w:spacing w:after="0"/>
              <w:rPr>
                <w:sz w:val="20"/>
                <w:szCs w:val="20"/>
                <w:color w:val="auto"/>
              </w:rPr>
            </w:pPr>
          </w:p>
        </w:tc>
        <w:tc>
          <w:tcPr>
            <w:tcW w:w="114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rPr>
              <w:t>$2,988</w:t>
            </w:r>
          </w:p>
        </w:tc>
        <w:tc>
          <w:tcPr>
            <w:tcW w:w="1120" w:type="dxa"/>
            <w:vAlign w:val="bottom"/>
            <w:tcBorders>
              <w:right w:val="single" w:sz="8" w:color="A5A5A5"/>
            </w:tcBorders>
          </w:tcPr>
          <w:p>
            <w:pPr>
              <w:jc w:val="center"/>
              <w:spacing w:after="0"/>
              <w:rPr>
                <w:sz w:val="20"/>
                <w:szCs w:val="20"/>
                <w:color w:val="auto"/>
              </w:rPr>
            </w:pPr>
            <w:r>
              <w:rPr>
                <w:rFonts w:ascii="Arial" w:cs="Arial" w:eastAsia="Arial" w:hAnsi="Arial"/>
                <w:sz w:val="16"/>
                <w:szCs w:val="16"/>
                <w:color w:val="auto"/>
                <w:w w:val="99"/>
              </w:rPr>
              <w:t>68%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right w:val="single" w:sz="8" w:color="A5A5A5"/>
            </w:tcBorders>
          </w:tcPr>
          <w:p>
            <w:pPr>
              <w:spacing w:after="0"/>
              <w:rPr>
                <w:sz w:val="2"/>
                <w:szCs w:val="2"/>
                <w:color w:val="auto"/>
              </w:rPr>
            </w:pPr>
          </w:p>
        </w:tc>
        <w:tc>
          <w:tcPr>
            <w:tcW w:w="3200" w:type="dxa"/>
            <w:vAlign w:val="bottom"/>
            <w:tcBorders>
              <w:bottom w:val="single" w:sz="8" w:color="A5A5A5"/>
            </w:tcBorders>
          </w:tcPr>
          <w:p>
            <w:pPr>
              <w:spacing w:after="0"/>
              <w:rPr>
                <w:sz w:val="2"/>
                <w:szCs w:val="2"/>
                <w:color w:val="auto"/>
              </w:rPr>
            </w:pPr>
          </w:p>
        </w:tc>
        <w:tc>
          <w:tcPr>
            <w:tcW w:w="2520" w:type="dxa"/>
            <w:vAlign w:val="bottom"/>
            <w:tcBorders>
              <w:bottom w:val="single" w:sz="8" w:color="A5A5A5"/>
              <w:right w:val="single" w:sz="8" w:color="A5A5A5"/>
            </w:tcBorders>
          </w:tcPr>
          <w:p>
            <w:pPr>
              <w:spacing w:after="0"/>
              <w:rPr>
                <w:sz w:val="2"/>
                <w:szCs w:val="2"/>
                <w:color w:val="auto"/>
              </w:rPr>
            </w:pPr>
          </w:p>
        </w:tc>
        <w:tc>
          <w:tcPr>
            <w:tcW w:w="1140" w:type="dxa"/>
            <w:vAlign w:val="bottom"/>
            <w:tcBorders>
              <w:bottom w:val="single" w:sz="8" w:color="A5A5A5"/>
              <w:right w:val="single" w:sz="8" w:color="A5A5A5"/>
            </w:tcBorders>
          </w:tcPr>
          <w:p>
            <w:pPr>
              <w:spacing w:after="0"/>
              <w:rPr>
                <w:sz w:val="2"/>
                <w:szCs w:val="2"/>
                <w:color w:val="auto"/>
              </w:rPr>
            </w:pPr>
          </w:p>
        </w:tc>
        <w:tc>
          <w:tcPr>
            <w:tcW w:w="1120" w:type="dxa"/>
            <w:vAlign w:val="bottom"/>
            <w:tcBorders>
              <w:bottom w:val="single" w:sz="8" w:color="A5A5A5"/>
              <w:right w:val="single" w:sz="8" w:color="A5A5A5"/>
            </w:tcBorders>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-368300</wp:posOffset>
            </wp:positionV>
            <wp:extent cx="7289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 and Advisory Revenues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Commission and advisory revenues both represent advisor-generated revenue, generally 85-90% of which is paid to advisors.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We generate two types of commission revenues: transaction-based sales commissions and trailing commissions. Transaction-based sales commission revenues, which occur whenever clients trade securities or purchase various types of investment products, represent gross commissions generated by our advisors, primarily from commissions earned on purchases by clients of various financial products such as mutual funds, variable and fixed annuities, alternative investments, insurance, and group annuities, and from purchases and sales of equities, fixed income, and options. The levels of transaction-based sales commissions can vary from period to period based on the overall economic environment, number of trading days in the reporting period, and investment activity of our advisors' clients. We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each calendar quarter. Generally, the advisory revenues collected on our corporate RIA platform range from 0.5% to 3.0% of the underlying assets.</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773" w:right="219" w:bottom="1440" w:gutter="0" w:footer="0" w:header="0"/>
        </w:sectPr>
      </w:pPr>
    </w:p>
    <w:bookmarkStart w:id="37" w:name="page38"/>
    <w:bookmarkEnd w:id="37"/>
    <w:p>
      <w:pPr>
        <w:ind w:right="140" w:firstLine="486"/>
        <w:spacing w:after="0" w:line="252"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 of 1940, rather than through LPL Financial. The assets held under these investment advisory accounts custodied with LPL Financial are included in our advisory and brokerage assets, net new advisory assets, and advisory assets under custody metrics. The advisory revenue generated by an Independent RIA is earned by the Independent RIA, and accordingly is not included in our advisory revenue. However, we charge administrative fees to Independent RIAs for clearing and custody of these assets, based on the value of assets within these advisory accounts. The administrative fees collected on our Independent RIA platform vary, and can reach a maximum of 0.6% of the underlying assets.</w:t>
      </w:r>
    </w:p>
    <w:p>
      <w:pPr>
        <w:spacing w:after="0" w:line="20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Asset-Based Revenues</w:t>
      </w:r>
    </w:p>
    <w:p>
      <w:pPr>
        <w:spacing w:after="0" w:line="247" w:lineRule="exact"/>
        <w:rPr>
          <w:sz w:val="20"/>
          <w:szCs w:val="20"/>
          <w:color w:val="auto"/>
        </w:rPr>
      </w:pPr>
    </w:p>
    <w:p>
      <w:pPr>
        <w:ind w:right="120" w:firstLine="486"/>
        <w:spacing w:after="0" w:line="251" w:lineRule="auto"/>
        <w:rPr>
          <w:sz w:val="20"/>
          <w:szCs w:val="20"/>
          <w:color w:val="auto"/>
        </w:rPr>
      </w:pPr>
      <w:r>
        <w:rPr>
          <w:rFonts w:ascii="Arial" w:cs="Arial" w:eastAsia="Arial" w:hAnsi="Arial"/>
          <w:sz w:val="18"/>
          <w:szCs w:val="18"/>
          <w:color w:val="auto"/>
        </w:rPr>
        <w:t>Asset-based revenues are comprised of fees from cash sweep programs, our sponsorship programs with 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 - keeping services that we provide to clients of our advisors. Omnibus processing revenues are paid to us by mutual fund product sponsors and based upon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Fee Revenues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Revenues earned from transactions and fees primarily consist of transaction 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to the advisors for attendance.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Other revenues include marketing re-allowance fees from certain financial product manufacturers, primarily those who offer alternative investments, such as non-traded real estate investment trusts and business development companies, mark-to-market gains or losses on assets held by us for the advisors' non-qualified deferred compensation plan and our model portfolios, and revenues from our retirement partner program, as well as interest income from client margin accounts and cash equivalents, net of operating interest expense, and other items.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Expenses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Production expenses are comprised of the following: base payout amounts that are earned by and paid out to advisors based on commission and advisory revenues earned on each client's account (collectively, commission and advisory revenues earned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6" w:right="239" w:bottom="1440" w:gutter="0" w:footer="0" w:header="0"/>
        </w:sectPr>
      </w:pPr>
    </w:p>
    <w:bookmarkStart w:id="38" w:name="page39"/>
    <w:bookmarkEnd w:id="38"/>
    <w:p>
      <w:pPr>
        <w:ind w:firstLine="486"/>
        <w:spacing w:after="0" w:line="252"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 advisors and financial institutions based on the fair value of the awards at each reporting period, and mark-to-market gains or losses on amounts designated by advisors as deferred commissions in a non-qualified deferred compensation plan. Non-GDC sensitive payout is correlated either to the sequential movement in the market or the value of our stock. We believe that discussion of production payout, viewed in addition to, and not in lieu of, our production expenses, provides useful information to investors regarding our payouts to advisors.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w:t>
      </w:r>
    </w:p>
    <w:p>
      <w:pPr>
        <w:spacing w:after="0" w:line="247"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General and administrative expenses include promotional fees, occupancy and equipment, communications and data processing, professional services, and other expenses. General and administrative expenses also include the estimated costs of the investigation, settlement, and resolution of regulatory matters and expenses for our hosting of certain advisor conferences that serve as training, sales, and marketing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intangible assets established through our acquisitions, as well as fixed assets.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Restructuring charges primarily represent expenses incurred as a result of our expansion of our Service Value Commitment initiative.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consolidated financial statements for additional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Other expenses represent charges incurred arising from the shutdown of our former subsidiary NestWise, which ceased operations in the third quarter of 2013 (the "NestWise Closure").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06"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How We Evaluate Our Business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64"/>
        </w:trPr>
        <w:tc>
          <w:tcPr>
            <w:tcW w:w="6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Advisors(1)</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14,036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13,352</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475.1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438.4</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373.3</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122.1</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10.9</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16.3</w:t>
            </w:r>
          </w:p>
        </w:tc>
      </w:tr>
      <w:tr>
        <w:trPr>
          <w:trHeight w:val="251"/>
        </w:trPr>
        <w:tc>
          <w:tcPr>
            <w:tcW w:w="690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8.4</w:t>
            </w: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Years Ended December 31,</w:t>
            </w:r>
          </w:p>
        </w:tc>
        <w:tc>
          <w:tcPr>
            <w:tcW w:w="1040" w:type="dxa"/>
            <w:vAlign w:val="bottom"/>
            <w:tcBorders>
              <w:bottom w:val="single" w:sz="8" w:color="auto"/>
            </w:tcBorders>
          </w:tcPr>
          <w:p>
            <w:pPr>
              <w:spacing w:after="0"/>
              <w:rPr>
                <w:sz w:val="19"/>
                <w:szCs w:val="19"/>
                <w:color w:val="auto"/>
              </w:rPr>
            </w:pPr>
          </w:p>
        </w:tc>
      </w:tr>
      <w:tr>
        <w:trPr>
          <w:trHeight w:val="264"/>
        </w:trPr>
        <w:tc>
          <w:tcPr>
            <w:tcW w:w="69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r>
      <w:tr>
        <w:trPr>
          <w:trHeight w:val="260"/>
        </w:trPr>
        <w:tc>
          <w:tcPr>
            <w:tcW w:w="690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year</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thousands)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178,043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181,857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151,918</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1.37</w:t>
            </w:r>
          </w:p>
        </w:tc>
      </w:tr>
      <w:tr>
        <w:trPr>
          <w:trHeight w:val="280"/>
        </w:trPr>
        <w:tc>
          <w:tcPr>
            <w:tcW w:w="6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Gross profit (in thousands)(5)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1,325,945</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1,248,014</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1,112,251</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as a % of net revenue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Adjusted EBITDA (in thousands)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516,507</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511,438</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454,482</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net revenue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60"/>
        </w:trPr>
        <w:tc>
          <w:tcPr>
            <w:tcW w:w="6900" w:type="dxa"/>
            <w:vAlign w:val="bottom"/>
          </w:tcPr>
          <w:p>
            <w:pPr>
              <w:ind w:left="200"/>
              <w:spacing w:after="0"/>
              <w:rPr>
                <w:sz w:val="20"/>
                <w:szCs w:val="20"/>
                <w:color w:val="auto"/>
              </w:rPr>
            </w:pPr>
            <w:r>
              <w:rPr>
                <w:rFonts w:ascii="Arial" w:cs="Arial" w:eastAsia="Arial" w:hAnsi="Arial"/>
                <w:sz w:val="16"/>
                <w:szCs w:val="16"/>
                <w:color w:val="auto"/>
              </w:rPr>
              <w:t>Adjusted EBITDA as a % of gross profit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80"/>
        </w:trPr>
        <w:tc>
          <w:tcPr>
            <w:tcW w:w="6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(in thousands)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247,621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258,805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225,029</w:t>
            </w:r>
          </w:p>
        </w:tc>
      </w:tr>
      <w:tr>
        <w:trPr>
          <w:trHeight w:val="251"/>
        </w:trPr>
        <w:tc>
          <w:tcPr>
            <w:tcW w:w="6900" w:type="dxa"/>
            <w:vAlign w:val="bottom"/>
          </w:tcPr>
          <w:p>
            <w:pPr>
              <w:ind w:left="200"/>
              <w:spacing w:after="0"/>
              <w:rPr>
                <w:sz w:val="20"/>
                <w:szCs w:val="20"/>
                <w:color w:val="auto"/>
              </w:rPr>
            </w:pPr>
            <w:r>
              <w:rPr>
                <w:rFonts w:ascii="Arial" w:cs="Arial" w:eastAsia="Arial" w:hAnsi="Arial"/>
                <w:sz w:val="16"/>
                <w:szCs w:val="16"/>
                <w:color w:val="auto"/>
              </w:rPr>
              <w:t>Adjusted Earnings per share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340" w:right="2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the Company's broker-dealer subsidiary.</w:t>
      </w:r>
    </w:p>
    <w:p>
      <w:pPr>
        <w:spacing w:after="0" w:line="34" w:lineRule="exact"/>
        <w:rPr>
          <w:rFonts w:ascii="Arial" w:cs="Arial" w:eastAsia="Arial" w:hAnsi="Arial"/>
          <w:sz w:val="18"/>
          <w:szCs w:val="18"/>
          <w:color w:val="auto"/>
        </w:rPr>
      </w:pPr>
    </w:p>
    <w:p>
      <w:pPr>
        <w:ind w:left="340" w:right="2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Insured cash account and money market account balances are also included in advisory and brokerage assets.</w:t>
      </w:r>
    </w:p>
    <w:p>
      <w:pPr>
        <w:spacing w:after="0" w:line="39" w:lineRule="exact"/>
        <w:rPr>
          <w:rFonts w:ascii="Arial" w:cs="Arial" w:eastAsia="Arial" w:hAnsi="Arial"/>
          <w:sz w:val="18"/>
          <w:szCs w:val="18"/>
          <w:color w:val="auto"/>
        </w:rPr>
      </w:pPr>
    </w:p>
    <w:p>
      <w:pPr>
        <w:ind w:left="340" w:right="180" w:hanging="332"/>
        <w:spacing w:after="0" w:line="291"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66" w:lineRule="exact"/>
        <w:rPr>
          <w:rFonts w:ascii="Arial" w:cs="Arial" w:eastAsia="Arial" w:hAnsi="Arial"/>
          <w:sz w:val="17"/>
          <w:szCs w:val="17"/>
          <w:color w:val="auto"/>
        </w:rPr>
      </w:pPr>
    </w:p>
    <w:p>
      <w:pPr>
        <w:ind w:left="340" w:right="100" w:hanging="332"/>
        <w:spacing w:after="0" w:line="262"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88"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Because our gross profit amounts do not include any depreciation and amortization expense, we consider our gross profit amounts to be non-GAAP measures that may not be comparable to those of others in our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ectPr>
          <w:pgSz w:w="11900" w:h="16838" w:orient="portrait"/>
          <w:cols w:equalWidth="0" w:num="1">
            <w:col w:w="11400"/>
          </w:cols>
          <w:pgMar w:left="240" w:top="738" w:right="25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738" w:right="259" w:bottom="1440" w:gutter="0" w:footer="0" w:header="0"/>
          <w:type w:val="continuous"/>
        </w:sectPr>
      </w:pPr>
    </w:p>
    <w:bookmarkStart w:id="40" w:name="page41"/>
    <w:bookmarkEnd w:id="40"/>
    <w:p>
      <w:pPr>
        <w:ind w:right="38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34" w:lineRule="exact"/>
        <w:rPr>
          <w:sz w:val="20"/>
          <w:szCs w:val="20"/>
          <w:color w:val="auto"/>
        </w:rPr>
      </w:pPr>
    </w:p>
    <w:p>
      <w:pPr>
        <w:ind w:left="660" w:right="10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share-based compensation expense is not a key measure of our operating performance; and</w:t>
      </w:r>
    </w:p>
    <w:p>
      <w:pPr>
        <w:spacing w:after="0" w:line="93"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Adjusted EBITDA:</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171"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202"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8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117"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88" w:lineRule="exact"/>
        <w:rPr>
          <w:rFonts w:ascii="Arial" w:cs="Arial" w:eastAsia="Arial" w:hAnsi="Arial"/>
          <w:sz w:val="18"/>
          <w:szCs w:val="18"/>
          <w:color w:val="auto"/>
        </w:rPr>
      </w:pPr>
    </w:p>
    <w:p>
      <w:pPr>
        <w:ind w:left="660" w:right="160" w:hanging="328"/>
        <w:spacing w:after="0" w:line="29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20"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598" w:right="279" w:bottom="1440" w:gutter="0" w:footer="0" w:header="0"/>
        </w:sectPr>
      </w:pPr>
    </w:p>
    <w:bookmarkStart w:id="41" w:name="page42"/>
    <w:bookmarkEnd w:id="41"/>
    <w:p>
      <w:pPr>
        <w:ind w:right="280" w:firstLine="486"/>
        <w:spacing w:after="0" w:line="262" w:lineRule="auto"/>
        <w:rPr>
          <w:sz w:val="20"/>
          <w:szCs w:val="20"/>
          <w:color w:val="auto"/>
        </w:rPr>
      </w:pPr>
      <w:r>
        <w:rPr>
          <w:rFonts w:ascii="Arial" w:cs="Arial" w:eastAsia="Arial" w:hAnsi="Arial"/>
          <w:sz w:val="18"/>
          <w:szCs w:val="18"/>
          <w:color w:val="auto"/>
        </w:rPr>
        <w:t>Set forth below is a reconciliation from our net income to Adjusted EBITDA, a non-GAAP measure, for the years ended December 31, 2014, 2013, and 2012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181,857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c>
          <w:tcPr>
            <w:tcW w:w="0" w:type="dxa"/>
            <w:vAlign w:val="bottom"/>
          </w:tcPr>
          <w:p>
            <w:pPr>
              <w:spacing w:after="0"/>
              <w:rPr>
                <w:sz w:val="1"/>
                <w:szCs w:val="1"/>
                <w:color w:val="auto"/>
              </w:rPr>
            </w:pP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51,538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51,446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54,826</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116,654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109,446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98,673</w:t>
            </w:r>
          </w:p>
        </w:tc>
        <w:tc>
          <w:tcPr>
            <w:tcW w:w="0" w:type="dxa"/>
            <w:vAlign w:val="bottom"/>
          </w:tcPr>
          <w:p>
            <w:pPr>
              <w:spacing w:after="0"/>
              <w:rPr>
                <w:sz w:val="1"/>
                <w:szCs w:val="1"/>
                <w:color w:val="auto"/>
              </w:rPr>
            </w:pPr>
          </w:p>
        </w:tc>
      </w:tr>
      <w:tr>
        <w:trPr>
          <w:trHeight w:val="260"/>
        </w:trPr>
        <w:tc>
          <w:tcPr>
            <w:tcW w:w="674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38,868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39,006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39,542</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57,977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44,497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32,254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443,080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426,252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377,213</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21,246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15,434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17,544</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20,474</w:t>
            </w:r>
          </w:p>
        </w:tc>
        <w:tc>
          <w:tcPr>
            <w:tcW w:w="0" w:type="dxa"/>
            <w:vAlign w:val="bottom"/>
          </w:tcPr>
          <w:p>
            <w:pPr>
              <w:spacing w:after="0"/>
              <w:rPr>
                <w:sz w:val="1"/>
                <w:szCs w:val="1"/>
                <w:color w:val="auto"/>
              </w:rPr>
            </w:pPr>
          </w:p>
        </w:tc>
      </w:tr>
      <w:tr>
        <w:trPr>
          <w:trHeight w:val="260"/>
        </w:trPr>
        <w:tc>
          <w:tcPr>
            <w:tcW w:w="674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34,783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30,812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6,146</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Debt amendment and extinguishment costs(4)</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4,361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16,652</w:t>
            </w:r>
          </w:p>
        </w:tc>
        <w:tc>
          <w:tcPr>
            <w:tcW w:w="0" w:type="dxa"/>
            <w:vAlign w:val="bottom"/>
          </w:tcPr>
          <w:p>
            <w:pPr>
              <w:spacing w:after="0"/>
              <w:rPr>
                <w:sz w:val="1"/>
                <w:szCs w:val="1"/>
                <w:color w:val="auto"/>
              </w:rPr>
            </w:pPr>
          </w:p>
        </w:tc>
      </w:tr>
      <w:tr>
        <w:trPr>
          <w:trHeight w:val="260"/>
        </w:trPr>
        <w:tc>
          <w:tcPr>
            <w:tcW w:w="6740" w:type="dxa"/>
            <w:vAlign w:val="bottom"/>
          </w:tcPr>
          <w:p>
            <w:pPr>
              <w:ind w:left="260"/>
              <w:spacing w:after="0"/>
              <w:rPr>
                <w:sz w:val="20"/>
                <w:szCs w:val="20"/>
                <w:color w:val="auto"/>
              </w:rPr>
            </w:pPr>
            <w:r>
              <w:rPr>
                <w:rFonts w:ascii="Arial" w:cs="Arial" w:eastAsia="Arial" w:hAnsi="Arial"/>
                <w:sz w:val="16"/>
                <w:szCs w:val="16"/>
                <w:color w:val="auto"/>
              </w:rPr>
              <w:t>Equity issuance and related offering costs(5)</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Other(6)</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11,623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11,082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73,427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85,186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77,269</w:t>
            </w:r>
          </w:p>
        </w:tc>
        <w:tc>
          <w:tcPr>
            <w:tcW w:w="0" w:type="dxa"/>
            <w:vAlign w:val="bottom"/>
          </w:tcPr>
          <w:p>
            <w:pPr>
              <w:spacing w:after="0"/>
              <w:rPr>
                <w:sz w:val="1"/>
                <w:szCs w:val="1"/>
                <w:color w:val="auto"/>
              </w:rPr>
            </w:pPr>
          </w:p>
        </w:tc>
      </w:tr>
      <w:tr>
        <w:trPr>
          <w:trHeight w:val="24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516,507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511,438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454,482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7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40" w:right="12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340" w:right="42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that may be required to be made to former shareholders of certain acquired entities.</w:t>
      </w:r>
    </w:p>
    <w:p>
      <w:pPr>
        <w:spacing w:after="0" w:line="88" w:lineRule="exact"/>
        <w:rPr>
          <w:rFonts w:ascii="Arial" w:cs="Arial" w:eastAsia="Arial" w:hAnsi="Arial"/>
          <w:sz w:val="18"/>
          <w:szCs w:val="18"/>
          <w:color w:val="auto"/>
        </w:rPr>
      </w:pPr>
    </w:p>
    <w:p>
      <w:pPr>
        <w:ind w:left="340" w:right="36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resulting from the expansion of our Service Value Commitment initiative.</w:t>
      </w:r>
    </w:p>
    <w:p>
      <w:pPr>
        <w:spacing w:after="0" w:line="88" w:lineRule="exact"/>
        <w:rPr>
          <w:rFonts w:ascii="Arial" w:cs="Arial" w:eastAsia="Arial" w:hAnsi="Arial"/>
          <w:sz w:val="18"/>
          <w:szCs w:val="18"/>
          <w:color w:val="auto"/>
        </w:rPr>
      </w:pPr>
    </w:p>
    <w:p>
      <w:pPr>
        <w:ind w:left="340" w:right="20" w:hanging="332"/>
        <w:spacing w:after="0" w:line="25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on our prior senior secured credit facilities, including the accelerated recognition of unamortized debt issuance costs that had no future economic benefit, as well as various other charges incurred in connection with the repayment under prior senior secured credit facilities and the establishment of new or amended senior secured credit facilities.</w:t>
      </w:r>
    </w:p>
    <w:p>
      <w:pPr>
        <w:spacing w:after="0" w:line="96"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related to the closing of a secondary offering in the second quarter of 2012. Results for the year ended December 31, 2012, include a $3.9 million charge relating to the late deposit of withholding taxes related to the exercise of certain non-qualified stock options in connection with the Company's 2010 initial public offering ("IPO").</w:t>
      </w:r>
    </w:p>
    <w:p>
      <w:pPr>
        <w:spacing w:after="0" w:line="93" w:lineRule="exact"/>
        <w:rPr>
          <w:rFonts w:ascii="Arial" w:cs="Arial" w:eastAsia="Arial" w:hAnsi="Arial"/>
          <w:sz w:val="18"/>
          <w:szCs w:val="18"/>
          <w:color w:val="auto"/>
        </w:rPr>
      </w:pPr>
    </w:p>
    <w:p>
      <w:pPr>
        <w:ind w:left="340" w:right="60" w:hanging="332"/>
        <w:spacing w:after="0" w:line="251"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for the year ended December 31, 2014 include approximately $9.6 million in parallel rent, property tax, common area maintenance expenses, and fixed asset disposals incurred in connection with our relocation to our San Diego office building. Results for the year ended December 31, 2013 include costs related to the NestWise Closure, consisting of: i) the derecognition of $10.2 million of goodwill; ii) $8.4 million of fixed asset charges that were determined to have no future economic benefit; iii) severance and termination benefits; and iv) a $9.3 million decrease in the estimated fair value of contingent consideration as related milestones were not achieved. Results for the year ended December 31, 2013 also include $2.7 million of severance and termination benefits related to a change in management structure and a $2.3 million gain related to the sale of an equity investment. Results for the year ended December 31, 2012 include approximately $7.0 million for consulting services and technology development aimed at enhancing the Company's performance in support of its advisors while operating at a lower cost. In addition, results for the year ended December 31, 2012 include an asset impairment charge of $4.0 million for certain fixed assets related to internally developed software that were determined to have no future economic benefit. Results also include certain excise and other taxes in all years.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06"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We prepare Adjusted Earnings and Adjusted Earnings per share to eliminate the effects of items that we do not consider indicative of our core operating performance.</w:t>
      </w:r>
    </w:p>
    <w:p>
      <w:pPr>
        <w:spacing w:after="0" w:line="196"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(c) 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20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48" w:lineRule="exact"/>
        <w:rPr>
          <w:sz w:val="20"/>
          <w:szCs w:val="20"/>
          <w:color w:val="auto"/>
        </w:rPr>
      </w:pPr>
    </w:p>
    <w:p>
      <w:pPr>
        <w:ind w:left="660" w:right="4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the related share-based compensation expense is not a key measure of our current operating performance;</w:t>
      </w:r>
    </w:p>
    <w:p>
      <w:pPr>
        <w:spacing w:after="0" w:line="93"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93"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15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20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148" w:lineRule="exact"/>
        <w:rPr>
          <w:sz w:val="20"/>
          <w:szCs w:val="20"/>
          <w:color w:val="auto"/>
        </w:rPr>
      </w:pPr>
    </w:p>
    <w:p>
      <w:pPr>
        <w:ind w:left="660" w:right="102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117"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42"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38" w:right="239" w:bottom="1440" w:gutter="0" w:footer="0" w:header="0"/>
        </w:sectPr>
      </w:pPr>
    </w:p>
    <w:bookmarkStart w:id="43" w:name="page44"/>
    <w:bookmarkEnd w:id="43"/>
    <w:p>
      <w:pPr>
        <w:ind w:right="10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years ended December 31, 2014, 2013, and 2012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r>
      <w:tr>
        <w:trPr>
          <w:trHeight w:val="257"/>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178,043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r>
      <w:tr>
        <w:trPr>
          <w:trHeight w:val="260"/>
        </w:trPr>
        <w:tc>
          <w:tcPr>
            <w:tcW w:w="7080" w:type="dxa"/>
            <w:vAlign w:val="bottom"/>
          </w:tcPr>
          <w:p>
            <w:pPr>
              <w:ind w:left="80"/>
              <w:spacing w:after="0"/>
              <w:rPr>
                <w:sz w:val="20"/>
                <w:szCs w:val="20"/>
                <w:color w:val="auto"/>
              </w:rPr>
            </w:pPr>
            <w:r>
              <w:rPr>
                <w:rFonts w:ascii="Arial" w:cs="Arial" w:eastAsia="Arial" w:hAnsi="Arial"/>
                <w:sz w:val="16"/>
                <w:szCs w:val="16"/>
                <w:color w:val="auto"/>
              </w:rPr>
              <w:t>After-Tax:</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Employee share-based compensation expense(1)</w:t>
            </w: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11,109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13,161</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and integration related expenses(2)</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11,106</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Restructuring and conversion costs</w:t>
            </w:r>
          </w:p>
        </w:tc>
        <w:tc>
          <w:tcPr>
            <w:tcW w:w="3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21,357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19,011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3,792</w:t>
            </w: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amendment and extinguishment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10,274</w:t>
            </w: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Equity issuance and related offering costs(3)</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4,262</w:t>
            </w:r>
          </w:p>
        </w:tc>
      </w:tr>
      <w:tr>
        <w:trPr>
          <w:trHeight w:val="27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Other(4)</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7,137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6,926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7,384</w:t>
            </w:r>
          </w:p>
        </w:tc>
      </w:tr>
      <w:tr>
        <w:trPr>
          <w:trHeight w:val="250"/>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45,713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52,881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49,979</w:t>
            </w:r>
          </w:p>
        </w:tc>
      </w:tr>
      <w:tr>
        <w:trPr>
          <w:trHeight w:val="257"/>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23,865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24,397</w:t>
            </w:r>
          </w:p>
        </w:tc>
      </w:tr>
      <w:tr>
        <w:trPr>
          <w:trHeight w:val="264"/>
        </w:trPr>
        <w:tc>
          <w:tcPr>
            <w:tcW w:w="7080" w:type="dxa"/>
            <w:vAlign w:val="bottom"/>
          </w:tcPr>
          <w:p>
            <w:pPr>
              <w:ind w:left="80"/>
              <w:spacing w:after="0"/>
              <w:rPr>
                <w:sz w:val="20"/>
                <w:szCs w:val="20"/>
                <w:color w:val="auto"/>
              </w:rPr>
            </w:pPr>
            <w:r>
              <w:rPr>
                <w:rFonts w:ascii="Arial" w:cs="Arial" w:eastAsia="Arial" w:hAnsi="Arial"/>
                <w:sz w:val="16"/>
                <w:szCs w:val="16"/>
                <w:color w:val="auto"/>
              </w:rPr>
              <w:t>Acquisition related benefit for a net operating loss carry-forward(5)</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(1,265)</w:t>
            </w:r>
          </w:p>
        </w:tc>
      </w:tr>
      <w:tr>
        <w:trPr>
          <w:trHeight w:val="240"/>
        </w:trPr>
        <w:tc>
          <w:tcPr>
            <w:tcW w:w="70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258,805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225,029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7"/>
        </w:trPr>
        <w:tc>
          <w:tcPr>
            <w:tcW w:w="7080" w:type="dxa"/>
            <w:vAlign w:val="bottom"/>
          </w:tcPr>
          <w:p>
            <w:pPr>
              <w:ind w:left="80"/>
              <w:spacing w:after="0"/>
              <w:rPr>
                <w:sz w:val="20"/>
                <w:szCs w:val="20"/>
                <w:color w:val="auto"/>
              </w:rPr>
            </w:pPr>
            <w:r>
              <w:rPr>
                <w:rFonts w:ascii="Arial" w:cs="Arial" w:eastAsia="Arial" w:hAnsi="Arial"/>
                <w:sz w:val="16"/>
                <w:szCs w:val="16"/>
                <w:color w:val="auto"/>
              </w:rPr>
              <w:t>Adjusted Earnings per share(6)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w:t>
            </w:r>
          </w:p>
        </w:tc>
      </w:tr>
      <w:tr>
        <w:trPr>
          <w:trHeight w:val="270"/>
        </w:trPr>
        <w:tc>
          <w:tcPr>
            <w:tcW w:w="7080" w:type="dxa"/>
            <w:vAlign w:val="bottom"/>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101,651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106,003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w:t>
      </w:r>
    </w:p>
    <w:p>
      <w:pPr>
        <w:ind w:left="60" w:right="80"/>
        <w:spacing w:after="0" w:line="256" w:lineRule="auto"/>
        <w:rPr>
          <w:sz w:val="20"/>
          <w:szCs w:val="20"/>
          <w:color w:val="auto"/>
        </w:rPr>
      </w:pPr>
      <w:r>
        <w:rPr>
          <w:rFonts w:ascii="Arial" w:cs="Arial" w:eastAsia="Arial" w:hAnsi="Arial"/>
          <w:sz w:val="18"/>
          <w:szCs w:val="18"/>
          <w:color w:val="auto"/>
        </w:rPr>
        <w:t>Generally, EBITDA Adjustments and amortization of intangible assets have been tax effected for those items for which we receive a tax deduction using a federal rate of 35.0% and the applicable effective state rate, which was 3.6%, 3.3% and 3.3%, net of the federal tax benefit, for the periods ended December 31, 2014, 2013, and 2012, respectively. Items for which we did not receive a tax deduction are noted below.</w:t>
      </w:r>
    </w:p>
    <w:p>
      <w:pPr>
        <w:spacing w:after="0" w:line="94" w:lineRule="exact"/>
        <w:rPr>
          <w:sz w:val="20"/>
          <w:szCs w:val="20"/>
          <w:color w:val="auto"/>
        </w:rPr>
      </w:pPr>
    </w:p>
    <w:p>
      <w:pPr>
        <w:ind w:left="340" w:right="140" w:hanging="332"/>
        <w:spacing w:after="0" w:line="26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impact of incentive stock options granted to employees that qualify for preferential tax treatment and conversely for which we do not receive a tax deduction.</w:t>
      </w:r>
    </w:p>
    <w:p>
      <w:pPr>
        <w:spacing w:after="0" w:line="88" w:lineRule="exact"/>
        <w:rPr>
          <w:rFonts w:ascii="Arial" w:cs="Arial" w:eastAsia="Arial" w:hAnsi="Arial"/>
          <w:sz w:val="18"/>
          <w:szCs w:val="18"/>
          <w:color w:val="auto"/>
        </w:rPr>
      </w:pPr>
    </w:p>
    <w:p>
      <w:pPr>
        <w:jc w:val="both"/>
        <w:ind w:left="340" w:right="48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for the twelve months ended December 31, 2013 and 2012 include reductions of expense of $3.8 million and $5.7 million, respectively, relating to the estimated fair value of contingent consideration for the stock acquisition of Concord Capital Partners, Inc. ("CCP"), that are not deductible for tax purposes.</w:t>
      </w:r>
    </w:p>
    <w:p>
      <w:pPr>
        <w:spacing w:after="0" w:line="93" w:lineRule="exact"/>
        <w:rPr>
          <w:rFonts w:ascii="Arial" w:cs="Arial" w:eastAsia="Arial" w:hAnsi="Arial"/>
          <w:sz w:val="18"/>
          <w:szCs w:val="18"/>
          <w:color w:val="auto"/>
        </w:rPr>
      </w:pPr>
    </w:p>
    <w:p>
      <w:pPr>
        <w:ind w:left="340" w:right="30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for the year ended December 31, 2012 include a $3.9 million charge in other expenses in the consolidated statements of income for the late deposit of withholding taxes related to the exercise of certain non-qualified stock options in connection with our 2010 IPO, which is not deductible for tax purposes.</w:t>
      </w:r>
    </w:p>
    <w:p>
      <w:pPr>
        <w:spacing w:after="0" w:line="93" w:lineRule="exact"/>
        <w:rPr>
          <w:rFonts w:ascii="Arial" w:cs="Arial" w:eastAsia="Arial" w:hAnsi="Arial"/>
          <w:sz w:val="18"/>
          <w:szCs w:val="18"/>
          <w:color w:val="auto"/>
        </w:rPr>
      </w:pPr>
    </w:p>
    <w:p>
      <w:pPr>
        <w:ind w:left="340" w:right="36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the impact of: i) the derecognition of $10.2 million of goodwill and ii) a $9.3 million decrease in the estimated fair value of contingent consideration related to the NestWise Closure that occurred during the year ended December 31, 2013 for which we did not receive a tax deduction.</w:t>
      </w:r>
    </w:p>
    <w:p>
      <w:pPr>
        <w:spacing w:after="0" w:line="93" w:lineRule="exact"/>
        <w:rPr>
          <w:rFonts w:ascii="Arial" w:cs="Arial" w:eastAsia="Arial" w:hAnsi="Arial"/>
          <w:sz w:val="18"/>
          <w:szCs w:val="18"/>
          <w:color w:val="auto"/>
        </w:rPr>
      </w:pPr>
    </w:p>
    <w:p>
      <w:pPr>
        <w:ind w:left="340" w:right="340" w:hanging="332"/>
        <w:spacing w:after="0" w:line="26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tax benefit available to us from the accumulated net operating losses of Concord Trust and Wealth Solutions division of LPL Financial that arose prior to our acquisition of CCP.</w:t>
      </w:r>
    </w:p>
    <w:p>
      <w:pPr>
        <w:spacing w:after="0" w:line="34" w:lineRule="exact"/>
        <w:rPr>
          <w:rFonts w:ascii="Arial" w:cs="Arial" w:eastAsia="Arial" w:hAnsi="Arial"/>
          <w:sz w:val="18"/>
          <w:szCs w:val="18"/>
          <w:color w:val="auto"/>
        </w:rPr>
      </w:pPr>
    </w:p>
    <w:p>
      <w:pPr>
        <w:ind w:left="340" w:right="80" w:hanging="332"/>
        <w:spacing w:after="0" w:line="25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7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right"/>
              <w:ind w:right="579"/>
              <w:spacing w:after="0"/>
              <w:rPr>
                <w:sz w:val="20"/>
                <w:szCs w:val="20"/>
                <w:color w:val="auto"/>
              </w:rPr>
            </w:pPr>
            <w:r>
              <w:rPr>
                <w:rFonts w:ascii="Arial" w:cs="Arial" w:eastAsia="Arial" w:hAnsi="Arial"/>
                <w:sz w:val="16"/>
                <w:szCs w:val="16"/>
                <w:b w:val="1"/>
                <w:bCs w:val="1"/>
                <w:color w:val="auto"/>
              </w:rPr>
              <w:t>Years Ended December 31,</w:t>
            </w:r>
          </w:p>
        </w:tc>
      </w:tr>
      <w:tr>
        <w:trPr>
          <w:trHeight w:val="264"/>
        </w:trPr>
        <w:tc>
          <w:tcPr>
            <w:tcW w:w="7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r>
      <w:tr>
        <w:trPr>
          <w:trHeight w:val="257"/>
        </w:trPr>
        <w:tc>
          <w:tcPr>
            <w:tcW w:w="728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r>
      <w:tr>
        <w:trPr>
          <w:trHeight w:val="260"/>
        </w:trPr>
        <w:tc>
          <w:tcPr>
            <w:tcW w:w="7280" w:type="dxa"/>
            <w:vAlign w:val="bottom"/>
          </w:tcPr>
          <w:p>
            <w:pPr>
              <w:ind w:left="500"/>
              <w:spacing w:after="0"/>
              <w:rPr>
                <w:sz w:val="20"/>
                <w:szCs w:val="20"/>
                <w:color w:val="auto"/>
              </w:rPr>
            </w:pPr>
            <w:r>
              <w:rPr>
                <w:rFonts w:ascii="Arial" w:cs="Arial" w:eastAsia="Arial" w:hAnsi="Arial"/>
                <w:sz w:val="16"/>
                <w:szCs w:val="16"/>
                <w:color w:val="auto"/>
              </w:rPr>
              <w:t>After-Tax:</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0"/>
        </w:trPr>
        <w:tc>
          <w:tcPr>
            <w:tcW w:w="72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EBITDA Adjustments per share</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r>
      <w:tr>
        <w:trPr>
          <w:trHeight w:val="260"/>
        </w:trPr>
        <w:tc>
          <w:tcPr>
            <w:tcW w:w="7280" w:type="dxa"/>
            <w:vAlign w:val="bottom"/>
          </w:tcPr>
          <w:p>
            <w:pPr>
              <w:ind w:left="700"/>
              <w:spacing w:after="0"/>
              <w:rPr>
                <w:sz w:val="20"/>
                <w:szCs w:val="20"/>
                <w:color w:val="auto"/>
              </w:rPr>
            </w:pPr>
            <w:r>
              <w:rPr>
                <w:rFonts w:ascii="Arial" w:cs="Arial" w:eastAsia="Arial" w:hAnsi="Arial"/>
                <w:sz w:val="16"/>
                <w:szCs w:val="16"/>
                <w:color w:val="auto"/>
              </w:rPr>
              <w:t>Amortization of intangible assets per share</w:t>
            </w:r>
          </w:p>
        </w:tc>
        <w:tc>
          <w:tcPr>
            <w:tcW w:w="2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73"/>
        </w:trPr>
        <w:tc>
          <w:tcPr>
            <w:tcW w:w="72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Acquisition related benefit for a net operating loss carry-forward per share</w:t>
            </w: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40"/>
        </w:trPr>
        <w:tc>
          <w:tcPr>
            <w:tcW w:w="7280" w:type="dxa"/>
            <w:vAlign w:val="bottom"/>
          </w:tcPr>
          <w:p>
            <w:pPr>
              <w:ind w:left="80"/>
              <w:spacing w:after="0"/>
              <w:rPr>
                <w:sz w:val="20"/>
                <w:szCs w:val="20"/>
                <w:color w:val="auto"/>
              </w:rPr>
            </w:pPr>
            <w:r>
              <w:rPr>
                <w:rFonts w:ascii="Arial" w:cs="Arial" w:eastAsia="Arial" w:hAnsi="Arial"/>
                <w:sz w:val="16"/>
                <w:szCs w:val="16"/>
                <w:color w:val="auto"/>
              </w:rPr>
              <w:t>Adjusted Earnings per share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98" w:right="259" w:bottom="144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598" w:right="2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Our Service Value Commitment Initiative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43"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Our Service Value Commitment initiative (the “Program”) is a multi-year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to reposition our labor force and invest in technology, human capital, marketing, and other key areas to enable future growth.</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 xml:space="preserve">As of December 31, 2014, we have incurred $61.1 million of costs related to outsourcing and other related costs, technology transformation costs, employee severance obligations, and other related costs, as well as non-cash charges for impairment of certain fixed assets related to internally developed software. The Program is expected to be completed in 2015, and we estimate total charges to be approximately $68.0 million, with expected annual pre-tax savings of approximately $32.0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the consolidated financial statements for further detail.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43"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During the second quarter of 2013 and in conjunction with the Program, we entered into a long-term contractual obligation (the "Agreement") with a third-party provider to enhance the quality and speed and reduce the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21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Upon completion of the Program, we estimate annual costs for our long-term contractual obligation with the third-party provider to be approximately $10.0 million annually. 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pacing w:after="0" w:line="188" w:lineRule="exact"/>
        <w:rPr>
          <w:sz w:val="20"/>
          <w:szCs w:val="20"/>
          <w:color w:val="auto"/>
        </w:rPr>
      </w:pPr>
    </w:p>
    <w:p>
      <w:pPr>
        <w:ind w:right="240" w:firstLine="486"/>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consolidated financial statements for additional information regarding our derivative financial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From time to time we undertake acquisitions or divestitures based on opportunities in the competitive landscape. These activities are part of our overall growth strategy, but can distort comparability when reviewing revenue and expense trends for periods presented. The following describes significant acquisition and divestiture activities that have impacted our 2014, 2013, and 2012 results.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NestWise Closure</w:t>
      </w:r>
    </w:p>
    <w:p>
      <w:pPr>
        <w:spacing w:after="0" w:line="24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In August 2013, we ceased the operations of our former subsidiary, NestWise. In connection with the NestWise Closure, we determined that a majority of the assets held at NestWise, comprised primarily of $10.2 million of goodwill and $8.4 million of fixed assets stemming from the 2012 acquisition of Veritat, had no future economic benefit and were derecognized beginning in the third quarter of 2013. Additionally, we decreased the amount of contingent consideration due to former shareholders of Veritat by $9.3 million to zero during 2013 as related milestones were not achieved. For the year ended December 31, 2013, the net revenues of NestWise were immaterial and expenses totaled $13.1 million.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43" w:lineRule="exact"/>
        <w:rPr>
          <w:sz w:val="20"/>
          <w:szCs w:val="20"/>
          <w:color w:val="auto"/>
        </w:rPr>
      </w:pPr>
    </w:p>
    <w:p>
      <w:pPr>
        <w:ind w:right="900" w:firstLine="486"/>
        <w:spacing w:after="0" w:line="262"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w:t>
      </w:r>
    </w:p>
    <w:p>
      <w:pPr>
        <w:sectPr>
          <w:pgSz w:w="11900" w:h="16838" w:orient="portrait"/>
          <w:cols w:equalWidth="0" w:num="1">
            <w:col w:w="11400"/>
          </w:cols>
          <w:pgMar w:left="240" w:top="738" w:right="259"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738" w:right="259" w:bottom="1440" w:gutter="0" w:footer="0" w:header="0"/>
          <w:type w:val="continuous"/>
        </w:sectPr>
      </w:pPr>
    </w:p>
    <w:bookmarkStart w:id="45" w:name="page46"/>
    <w:bookmarkEnd w:id="45"/>
    <w:p>
      <w:pPr>
        <w:ind w:right="80"/>
        <w:spacing w:after="0" w:line="256" w:lineRule="auto"/>
        <w:rPr>
          <w:sz w:val="20"/>
          <w:szCs w:val="20"/>
          <w:color w:val="auto"/>
        </w:rPr>
      </w:pPr>
      <w:r>
        <w:rPr>
          <w:rFonts w:ascii="Arial" w:cs="Arial" w:eastAsia="Arial" w:hAnsi="Arial"/>
          <w:sz w:val="18"/>
          <w:szCs w:val="18"/>
          <w:color w:val="auto"/>
        </w:rPr>
        <w:t>LLC and Fortigent Strategies Company, LLC (together, "Fortigent"). Fortigent is a leading provider of solutions and consulting services to RIAs, banks and trust companies servicing high-net-worth clients. Total purchase price consideration at the closing of the transaction was $38.8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43"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were also required to pay consideration to former shareholders of NRP that was contingent upon the achievement of certain revenue-based milestones in the third year following the acquisition. We recorded a contingent consideration obligation within accounts payable and accrued liabilities, and re-measured the contingent consideration at fair value at each interim reporting period, with changes recognized in earnings.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39"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The Federal Reserve maintained an accommodative 0.0% to 0.25% target range for the federal funds rate throughout the fourth quarter of 2014. At its December policy meeting, the Federal Reserve reaffirmed its rate policy, emphasizing it could be patient in deciding when to start raising rates, a view it deemed consistent with earlier guidance that it would likely be appropriate to keep the target federal funds rate near zero for a "considerable time" following the end of its asset purchase program, which concluded in October 2014. The Federal Reserve has underscored that it would take a balanced approach once it begins to raise rates and that it could keep rates below what members would consider normal in the longer term if conditions warranted, even if inflation and labor markets were near levels consistent with its mandate.</w:t>
      </w:r>
    </w:p>
    <w:p>
      <w:pPr>
        <w:spacing w:after="0" w:line="9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a result of the accommodative monetary policy, interest rates, including the rate on overnight funds, have remained low on a historical basis, with an average federal funds effective rate in 2014 of 9 basis points. The lower interest rate environment and fee compression, resulting from contract repricing in order to keep yields on our cash sweep programs competitive, has had a negative impact on the profitability of our cash sweep programs, and fee compression is expected to increase further in 2015 and 2016. Additionally, we have seen decreasing levels of demand for fixed income and fixed annuity products as investors move to equity and alternative products as gains in the market have risen.</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Another macro economic factor affecting our business is returns on equity securities across the various markets in the United States. We use the S&amp;P 500 index to evaluate and measure this factor. The S&amp;P 500 index closed the year at 2,059, up 11.4% from its close on December 31, 2013, and has now climbed for three straight years and provided investor gains of nearly 64% during that span. The growth in 2014 was largely attributable to improved corporate earnings, steady gains by the U.S. economy, and an accommodative Federal Reserve, which together created a positive environment in which market declines were repeatedly met with buying demand and capital inflows. Although investors endured volatility during the year, the market demonstrated impressive resilience despite lingering economic worries about geopolitical concerns, Federal Reserve monetary policy, U.S. and global growth rates, and policy uncertainty in Washington, D.C.</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0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years ended December 31, 2014, 2013, and 2012. Where appropriate, we have identified specific events and changes that affect comparability or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center"/>
              <w:ind w:left="559"/>
              <w:spacing w:after="0"/>
              <w:rPr>
                <w:sz w:val="20"/>
                <w:szCs w:val="20"/>
                <w:color w:val="auto"/>
              </w:rPr>
            </w:pPr>
            <w:r>
              <w:rPr>
                <w:rFonts w:ascii="Arial" w:cs="Arial" w:eastAsia="Arial" w:hAnsi="Arial"/>
                <w:sz w:val="16"/>
                <w:szCs w:val="16"/>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Percentage Change</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2"/>
                <w:szCs w:val="22"/>
                <w:color w:val="auto"/>
              </w:rPr>
            </w:pPr>
          </w:p>
        </w:tc>
        <w:tc>
          <w:tcPr>
            <w:tcW w:w="1680" w:type="dxa"/>
            <w:vAlign w:val="bottom"/>
            <w:gridSpan w:val="2"/>
          </w:tcPr>
          <w:p>
            <w:pPr>
              <w:ind w:left="260"/>
              <w:spacing w:after="0"/>
              <w:rPr>
                <w:sz w:val="20"/>
                <w:szCs w:val="20"/>
                <w:color w:val="auto"/>
              </w:rPr>
            </w:pPr>
            <w:r>
              <w:rPr>
                <w:rFonts w:ascii="Arial" w:cs="Arial" w:eastAsia="Arial" w:hAnsi="Arial"/>
                <w:sz w:val="16"/>
                <w:szCs w:val="16"/>
                <w:b w:val="1"/>
                <w:bCs w:val="1"/>
                <w:color w:val="auto"/>
              </w:rPr>
              <w:t>2014 vs. 2013</w:t>
            </w: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 vs. 2012</w:t>
            </w:r>
          </w:p>
        </w:tc>
        <w:tc>
          <w:tcPr>
            <w:tcW w:w="0" w:type="dxa"/>
            <w:vAlign w:val="bottom"/>
          </w:tcPr>
          <w:p>
            <w:pPr>
              <w:spacing w:after="0"/>
              <w:rPr>
                <w:sz w:val="1"/>
                <w:szCs w:val="1"/>
                <w:color w:val="auto"/>
              </w:rPr>
            </w:pPr>
          </w:p>
        </w:tc>
      </w:tr>
      <w:tr>
        <w:trPr>
          <w:trHeight w:val="251"/>
        </w:trPr>
        <w:tc>
          <w:tcPr>
            <w:tcW w:w="40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2,118,494</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2,077,566</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1,820,517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Advisory</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1,337,959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1,187,352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1,062,490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12.7 %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476,595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430,990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403,067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369,821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361,252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321,558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70,793</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83,698</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53,456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56.6 %</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Net revenues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4,373,662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4,140,858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3,661,088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Production</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3,047,717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2,892,844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2,548,837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 and benefits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421,829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400,967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362,705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422,441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373,368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350,212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13.1 %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96,845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83,503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71,796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r>
        <w:trPr>
          <w:trHeight w:val="260"/>
        </w:trPr>
        <w:tc>
          <w:tcPr>
            <w:tcW w:w="4080" w:type="dxa"/>
            <w:vAlign w:val="bottom"/>
          </w:tcPr>
          <w:p>
            <w:pPr>
              <w:ind w:left="80"/>
              <w:spacing w:after="0"/>
              <w:rPr>
                <w:sz w:val="20"/>
                <w:szCs w:val="20"/>
                <w:color w:val="auto"/>
              </w:rPr>
            </w:pPr>
            <w:r>
              <w:rPr>
                <w:rFonts w:ascii="Arial" w:cs="Arial" w:eastAsia="Arial" w:hAnsi="Arial"/>
                <w:sz w:val="16"/>
                <w:szCs w:val="16"/>
                <w:color w:val="auto"/>
              </w:rPr>
              <w:t>Restructuring charges</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34,652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5,597</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9,279</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4,023,484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3,790,147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3,339,147</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6.2 %</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Non-operating interest expense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51,446</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7,962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16,524</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4,078,965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3,849,555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3,410,497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47"/>
        </w:trPr>
        <w:tc>
          <w:tcPr>
            <w:tcW w:w="40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294,697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291,303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250,591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80"/>
        </w:trPr>
        <w:tc>
          <w:tcPr>
            <w:tcW w:w="4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116,654</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109,446</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98,673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58"/>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178,043</w:t>
            </w:r>
          </w:p>
        </w:tc>
        <w:tc>
          <w:tcPr>
            <w:tcW w:w="38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181,857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151,918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19.7 %</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1"/>
                <w:szCs w:val="11"/>
                <w:color w:val="auto"/>
              </w:rPr>
              <w:t>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3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135"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consolidated statements of income for the periods indicated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2014 vs. 2013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2013 vs. 2012</w:t>
            </w:r>
          </w:p>
        </w:tc>
      </w:tr>
      <w:tr>
        <w:trPr>
          <w:trHeight w:val="264"/>
        </w:trPr>
        <w:tc>
          <w:tcPr>
            <w:tcW w:w="26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807,634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794,898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764,502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610,310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565,951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498,239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44,359</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67,712</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13.6 %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211,638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251,113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142,996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108,117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75.6 %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160,287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123,882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98,976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36,405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29.4 %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24,906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25.2 %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119,569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99,380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85,882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87,243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83,235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4,008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4.8 %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78,659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60"/>
        </w:trPr>
        <w:tc>
          <w:tcPr>
            <w:tcW w:w="262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52,275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50,891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80"/>
        </w:trPr>
        <w:tc>
          <w:tcPr>
            <w:tcW w:w="2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34"/>
        </w:trPr>
        <w:tc>
          <w:tcPr>
            <w:tcW w:w="262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2,118,494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2,077,566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1,820,517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40,928</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257,049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14.1 %</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2014 vs. 2013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2013 vs. 2012</w:t>
            </w:r>
          </w:p>
        </w:tc>
      </w:tr>
      <w:tr>
        <w:trPr>
          <w:trHeight w:val="264"/>
        </w:trPr>
        <w:tc>
          <w:tcPr>
            <w:tcW w:w="2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1,181,189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1,254,683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1,110,041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144,642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64"/>
        </w:trPr>
        <w:tc>
          <w:tcPr>
            <w:tcW w:w="2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937,305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822,883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710,476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114,422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112,407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15.8%</w:t>
            </w:r>
          </w:p>
        </w:tc>
      </w:tr>
      <w:tr>
        <w:trPr>
          <w:trHeight w:val="240"/>
        </w:trPr>
        <w:tc>
          <w:tcPr>
            <w:tcW w:w="2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2,118,494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2,077,566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1,820,517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40,928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257,049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The increase in commission revenue in 2014 compared to 2013 is due primarily to an increase in trailing revenues for mutual funds and variable annuities and in activity for fixed annuities. Such growth reflects strong market conditions, resulting in an increase in value of the underlying assets.</w:t>
      </w:r>
    </w:p>
    <w:p>
      <w:pPr>
        <w:spacing w:after="0" w:line="161"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Fixed annuity sales-based commissions have risen, despite historically low interest rates, as investors have sought income streams with minimal risk to principal. Such benefits have attracted the increasing amount of retired investors, and those nearing retirement age, as their investment goals shift from portfolio growth to guaranteed income.</w:t>
      </w:r>
    </w:p>
    <w:p>
      <w:pPr>
        <w:spacing w:after="0" w:line="10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decrease in alternative investments commission revenue in 2014 as compared to 2013 was due primarily to a higher level of activity during the year ended December 31, 2013, in which commission revenues benefited from liquidity events in several large REITs that allowed for reinvestment into a similar type of investments. Such events resulted in alternative investment commissions during this period being elevated over prior year and subsequent periods.</w:t>
      </w:r>
    </w:p>
    <w:p>
      <w:pPr>
        <w:spacing w:after="0" w:line="110"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increase in commission revenues in 2013 compared to 2012 was due primarily to an increase in sales-based activity for alternative investments, equities, and mutual funds and increases in trail revenues for mutual funds and variable annuities. This growth reflected improved investor engagement, strong market conditions, and growth of the underlying assets. Additionally, commission revenues from fixed income, primarily driven by unit investment trusts and 529 college savings plans, and insurance products also contributed to the overall growth in commission revenue. Such overall growth reflected market-wide growth and increased investor engagement that has driven advisor productivity.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within our advisory assets under custody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at January 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101.6</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Ending balance at December 31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new advisory assets for the years ended December 31, 2014, 2013, and 2012 had a limited impact on advisory fee revenue for those respective periods. Rather, net new advisory assets are a primary driver of future advisory fee revenue and have resulted from the continued shift by our existing advisors from brokerage towards more advisory business. Advisory revenue for a particular quarter is predominately driven by the prior quarter-end advisory assets under management. The growth in advisory revenue is due to net new advisory assets resulting from increased investor engagement, and strong advisor productivity, as well as market gains as represented by higher levels of the S&amp;P 500 index in 2014 compared to 2013. The average of the S&amp;P 500 index in 2014 was 1,931, which is a 17.5% increase over the 2013 average of 1,644.</w:t>
      </w:r>
    </w:p>
    <w:p>
      <w:pPr>
        <w:spacing w:after="0" w:line="11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Independent RIA model has continued to grow rapidly as advisors seek the freedom to run their businesses in a manner that they believe best enables them to meet their clients' needs. This continued shift of advisors to the Independent RIA platform (for which we custody assets but do not earn advisory revenues for managing those assets) has caused the rate of revenue growth of advisory assets under management to lag behind the rate of growth of advisory assets under custody. Our advisory revenues do not include fees for advisory services charged by Independent RIA advisors to their clients. Accordingly, there is no corresponding payout. However, we charge administrative fees to Independent RIA advisors including custody and clearing fees, based on the value of assets.</w:t>
      </w:r>
    </w:p>
    <w:p>
      <w:pPr>
        <w:spacing w:after="0" w:line="11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growth in advisory revenue in 2013 compared to 2012 was due to both net new advisory assets in prior periods and higher levels of the S&amp;P 500 on the applicable billing dates in 2013 compared to 2012. The average of the S&amp;P 500 in 2013 was 1,644, which was a 19.2% increase over the average of 1,379 for the prior year. The continued shift of advisors to the Independent RIA platform and a repricing in one of our significant clearing agreements caused the rate of revenue growth to lag behind the rate of advisory asset growth.</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makeup within our advisory assets under custody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2014 vs. 2013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2013 vs. 2012</w:t>
            </w:r>
          </w:p>
        </w:tc>
      </w:tr>
      <w:tr>
        <w:trPr>
          <w:trHeight w:val="264"/>
        </w:trPr>
        <w:tc>
          <w:tcPr>
            <w:tcW w:w="30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16.9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8"/>
        </w:trPr>
        <w:tc>
          <w:tcPr>
            <w:tcW w:w="3020" w:type="dxa"/>
            <w:vAlign w:val="bottom"/>
          </w:tcPr>
          <w:p>
            <w:pPr>
              <w:ind w:left="40"/>
              <w:spacing w:after="0"/>
              <w:rPr>
                <w:sz w:val="20"/>
                <w:szCs w:val="20"/>
                <w:color w:val="auto"/>
              </w:rPr>
            </w:pPr>
            <w:r>
              <w:rPr>
                <w:rFonts w:ascii="Arial" w:cs="Arial" w:eastAsia="Arial" w:hAnsi="Arial"/>
                <w:sz w:val="16"/>
                <w:szCs w:val="16"/>
                <w:color w:val="auto"/>
              </w:rPr>
              <w:t>Independent RIA assets in advisory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8"/>
        </w:trPr>
        <w:tc>
          <w:tcPr>
            <w:tcW w:w="3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accounts custodied by LPL Financial</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12.6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58.9%</w:t>
            </w:r>
          </w:p>
        </w:tc>
      </w:tr>
      <w:tr>
        <w:trPr>
          <w:trHeight w:val="240"/>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29.5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0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Revenues from product sponsors and for record-keeping services, which are largely based on the underlying asset values, increased due to the impact of the higher average market indices on the value of those underlying assets and net new sales of eligible assets. Asset-based revenues also include revenues from our cash sweep programs, which decreased by $ 19.9 million, or 16.6%, to $99.7 million for the year ended December 31, 2014 from $119.6 million for the year ended December 31, 2013. The decrease is due to fee compression that resulted from a repricing of certain contracts that underlie our cash sweep programs, a year-over-year 2 basis point decline in the average federal funds effective rate to 0.09% for the year ended December 31, 2014, and a decrease of 1.2% in average assets in our cash sweep programs, which were $23.9 billion and $24.2 billion for the year ended December 31, 2014 and 2013,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9" w:name="page50"/>
    <w:bookmarkEnd w:id="49"/>
    <w:p>
      <w:pPr>
        <w:ind w:right="80" w:firstLine="486"/>
        <w:spacing w:after="0" w:line="252" w:lineRule="auto"/>
        <w:rPr>
          <w:sz w:val="20"/>
          <w:szCs w:val="20"/>
          <w:color w:val="auto"/>
        </w:rPr>
      </w:pPr>
      <w:r>
        <w:rPr>
          <w:rFonts w:ascii="Arial" w:cs="Arial" w:eastAsia="Arial" w:hAnsi="Arial"/>
          <w:sz w:val="18"/>
          <w:szCs w:val="18"/>
          <w:color w:val="auto"/>
        </w:rPr>
        <w:t>Revenues from product sponsors and for record-keeping services increased due to the impact of higher average market indices on the value of those underlying assets and net new sales of eligible assets. Asset-based revenues also include revenues from our cash sweep programs, which decreased by $18.5 million, or 13.4%, to $119.6 million for year ended December 31, 2013 from $138.1 million for the year ended December 31, 2012. The decrease resulted from a re-pricing of certain contracts that underlie our cash sweep programs, partially offset by an increase of 8.5% in average assets in our cash sweep programs, which were $24.2 billion and $22.3 billion for 2013 and 2012, respectively, as investors increased their percentage of cash assets in response to the volatility in the financial markets.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 and fee revenues increased in 2014 due to a 2.7% increase in the average number of advisors.</w:t>
      </w:r>
    </w:p>
    <w:p>
      <w:pPr>
        <w:spacing w:after="0" w:line="225"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auto"/>
        </w:rPr>
        <w:t>Transaction and fee revenues increased in 2013 due to higher trade volumes in certain brokerage and advisory accounts and a 2.6% increase in the average number of advisors. Additionally, our April 2012 acquisition of Fortigent contributed an incremental $4.1 million in revenues for 2013 compared to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right="220" w:firstLine="486"/>
        <w:spacing w:after="0" w:line="252" w:lineRule="auto"/>
        <w:rPr>
          <w:sz w:val="20"/>
          <w:szCs w:val="20"/>
          <w:color w:val="auto"/>
        </w:rPr>
      </w:pPr>
      <w:r>
        <w:rPr>
          <w:rFonts w:ascii="Arial" w:cs="Arial" w:eastAsia="Arial" w:hAnsi="Arial"/>
          <w:sz w:val="18"/>
          <w:szCs w:val="18"/>
          <w:color w:val="auto"/>
        </w:rPr>
        <w:t>The primary contributor to the decrease in other revenues during 2014 compared to 2013 was alternative investment marketing allowances received from product sponsor programs, which decreased by $5.8 million compared to the same period in 2013, driven primarily by decreased sales of alternative investments. Other revenue includes gains or losses on assets held for the advisor non-qualified deferred compensation plan. Gains were $2.1 million for 2014, compared to gains of $7.3 million for 2013. The gains or losses on assets held for the advisor non-qualified deferred compensation plan are offset by increases or decreases in non-GDC sensitive production expenses as noted below.</w:t>
      </w:r>
    </w:p>
    <w:p>
      <w:pPr>
        <w:spacing w:after="0" w:line="155"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primary contributor to the increase in 2013 compared to 2012 was direct investment marketing allowances received from product sponsor programs, which increased by $23.5 million, driven primarily by increased sales of alternative investments. Other revenue includes gains or losses on assets held for the advisor non-qualified deferred compensation plan. Gains were $7.3 million for 2013, compared to gains of $2.2 million for 2012. The gains or losses on assets held for the advisor non-qualified deferred compensation plan are offset by increases or decreases in non-GDC sensitive production expenses as noted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and total payout ratios, non-GAAP measures: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2980" w:type="dxa"/>
            <w:vAlign w:val="bottom"/>
            <w:tcBorders>
              <w:bottom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Years Ended December 31,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b w:val="1"/>
                <w:bCs w:val="1"/>
                <w:color w:val="auto"/>
              </w:rPr>
              <w:t>Change</w:t>
            </w:r>
          </w:p>
        </w:tc>
      </w:tr>
      <w:tr>
        <w:trPr>
          <w:trHeight w:val="264"/>
        </w:trPr>
        <w:tc>
          <w:tcPr>
            <w:tcW w:w="44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 vs. 2013</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 vs. 2012</w:t>
            </w:r>
          </w:p>
        </w:tc>
      </w:tr>
      <w:tr>
        <w:trPr>
          <w:trHeight w:val="257"/>
        </w:trPr>
        <w:tc>
          <w:tcPr>
            <w:tcW w:w="4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84.16%</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 bps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 bps</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 bps</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 bps</w:t>
            </w:r>
          </w:p>
        </w:tc>
      </w:tr>
      <w:tr>
        <w:trPr>
          <w:trHeight w:val="257"/>
        </w:trPr>
        <w:tc>
          <w:tcPr>
            <w:tcW w:w="4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 bps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 bps</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 bps</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 bps</w:t>
            </w:r>
          </w:p>
        </w:tc>
      </w:tr>
      <w:tr>
        <w:trPr>
          <w:trHeight w:val="240"/>
        </w:trPr>
        <w:tc>
          <w:tcPr>
            <w:tcW w:w="4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 bps</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 bps</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increase of 5.4% in production expenses in 2014 compared to 2013 correlates with our commission and advisory revenues, which increased by 5.9% during the same period. The decrease in non-GDC sensitive payout ratio is attributable to decreased advisor share-based compensation correlated to market movement in our stock and production expenses related to the advisor non-qualified deferred compensation plan as noted above.</w:t>
      </w:r>
    </w:p>
    <w:p>
      <w:pPr>
        <w:spacing w:after="0" w:line="2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The increase in production expense in 2013 compared to 2012 is correlated with our commission and advisory revenues, which increased by 13.2% during the same period. The GDC sensitive production payout rate decreased in part due to the growth of our advisory platform, which on average has a lower base rate than our brokerage platform. The increase in non-GDC sensitive payout is attributable to increased advisor share-based compensation for the year ended December 31, 2013 compared to the year ended December 31, 2012 correlated to market movement in our stock and production expenses related to the advisor non-qualified deferred compensation plan as noted above.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0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increase in compensation and benefits for 2014 compared with 2013 was a result of the growth in our average number of full-time employees and the salary and group health insurance costs associated with such growth. Our average number of full-time employees increased 9.5% from 3,047 in 2013 to 3,337 in 2014. Additionally, offsetting the increase in compensation and benefits were reduced levels in temporary labor services and a lower base in the discretionary bonus in 2014 compared with 2013.</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increase in compensation and benefits for 2013 compared with 2012 was primarily based on the fact that our average number of full-time employees increased 6.4% from 2,865 in 2012 to 3,047 in 2013, due to higher staffing levels in compliance, control and service to support increased levels of advisor and client activities, as well as to costs associated with our 2012 acquisition of Fortigent.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jc w:val="both"/>
        <w:ind w:right="40" w:firstLine="486"/>
        <w:spacing w:after="0" w:line="254" w:lineRule="auto"/>
        <w:rPr>
          <w:sz w:val="20"/>
          <w:szCs w:val="20"/>
          <w:color w:val="auto"/>
        </w:rPr>
      </w:pPr>
      <w:r>
        <w:rPr>
          <w:rFonts w:ascii="Arial" w:cs="Arial" w:eastAsia="Arial" w:hAnsi="Arial"/>
          <w:sz w:val="18"/>
          <w:szCs w:val="18"/>
          <w:color w:val="auto"/>
        </w:rPr>
        <w:t>The increase in general and administrative expenses for 2014 compared with 2013 was primarily driven by increases of $15.6 million for professional services, $13.1 million for business development and promotional expenses, $11.6 million for estimated costs of the investigation, settlement, and resolution of regulatory matters, and $9.6 million for parallel rent, property tax, common area maintenance expenses, and fixed asset disposals incurred in connection with the relocation to our San Diego office building.</w:t>
      </w:r>
    </w:p>
    <w:p>
      <w:pPr>
        <w:spacing w:after="0" w:line="204"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increase in general and administrative expenses for 2013 compared with 2012 was primarily driven by increases of $9.4 million for professional services, $4.5 million for business development and promotional expenses, and $9.0 million increase for non-depreciable equipment and licensing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increase in depreciation and amortization in 2014 compared to 2013 was primarily due to capital assets placed into service during the latter half of 2013 and increased levels of capital expenditures in 2014, which were primarily related to the relocation of our San Diego office building and capitalized software.</w:t>
      </w:r>
    </w:p>
    <w:p>
      <w:pPr>
        <w:spacing w:after="0" w:line="202"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increase in depreciation and amortization in 2013 compared to 2012 was due to higher balances of internally developed software to be amortized and a full year impact of depreciation of equipment and leasehold improvements in our office facility in Boston.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4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There was no activity related to Other Expenses for the year ended December 31, 2014. Other expenses for the year ended December 31, 2013 include the derecognition of certain fixed assets of $8.4 million and goodwill of $10.2 million, incurred as a result of the NestWise Closure. The assets were from the 2012 acquisition of Veritat by NestWise, and were determined to have no future economic benefit. Additionally, because Veritat was not an operating subsidiary at December 31, 2013, which was a condition of the potential payment of contingent consideration, we decreased the estimated fair value of contingent consideration by $9.3 million to zero during the year ended December 31, 2013.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 xml:space="preserve">Restructuring charges represent expenses incurred as a result of our expansion of our Service Value Commitment initiative. Restructuring charges were $34.7 million in 2014. These charges relate primarily to consulting fees paid to support our technology transformation as well as employee severance obligations and other related costs and non-cash charges for impairment incurred through our expansion of our Service Value Commitment initiative. Refer to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consolidated financial statements for additional details regarding this matter.</w:t>
      </w:r>
    </w:p>
    <w:p>
      <w:pPr>
        <w:spacing w:after="0" w:line="2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Restructuring charges were $30.2 million in 2013. These charges relate primarily to consulting fees paid to support our technology transformation and to develop our detailed outsourcing plans, as well as employee severance obligations and other related costs and non-cash charges for impairment incurred through our expansion of our Service Value Commitment initiative. Refer to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consolidated financial statements for additional details regarding this matter.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 The increase in interest expense for</w:t>
      </w:r>
    </w:p>
    <w:p>
      <w:pPr>
        <w:spacing w:after="0" w:line="9"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2014 as compared to 2013 is primarily due to changes in the level of outstanding indebtedness following the amendment to the credit agreement in October 2014.</w:t>
      </w:r>
    </w:p>
    <w:p>
      <w:pPr>
        <w:sectPr>
          <w:pgSz w:w="11900" w:h="16838" w:orient="portrait"/>
          <w:cols w:equalWidth="0" w:num="1">
            <w:col w:w="11400"/>
          </w:cols>
          <w:pgMar w:left="240" w:top="688" w:right="259" w:bottom="1440" w:gutter="0" w:footer="0" w:header="0"/>
        </w:sect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00"/>
          </w:cols>
          <w:pgMar w:left="240" w:top="688" w:right="259" w:bottom="1440" w:gutter="0" w:footer="0" w:header="0"/>
          <w:type w:val="continuous"/>
        </w:sectPr>
      </w:pPr>
    </w:p>
    <w:bookmarkStart w:id="51" w:name="page52"/>
    <w:bookmarkEnd w:id="51"/>
    <w:p>
      <w:pPr>
        <w:ind w:right="140" w:firstLine="486"/>
        <w:spacing w:after="0" w:line="254" w:lineRule="auto"/>
        <w:rPr>
          <w:sz w:val="20"/>
          <w:szCs w:val="20"/>
          <w:color w:val="auto"/>
        </w:rPr>
      </w:pPr>
      <w:r>
        <w:rPr>
          <w:rFonts w:ascii="Arial" w:cs="Arial" w:eastAsia="Arial" w:hAnsi="Arial"/>
          <w:sz w:val="18"/>
          <w:szCs w:val="18"/>
          <w:color w:val="auto"/>
        </w:rPr>
        <w:t>The reduction in interest expense for 2013 as compared to 2012 is primarily due to the full year effect of the refinancing in March 2012 and the maturity of an interest rate swap agreement with a notional value of $65.0 million on June 30, 2012. The decrease in interest expense due to these two events was partially offset by an increase of approximately $236.1 million in debt resulting from the amendment to the credit agreement in May 2013 of $608.9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October 2014, we amended the maturity date of certain credit facilities in our previous credit agreement and effectively increased our revolving credit facility by $150.0 million. Accordingly, we accelerated the recognition of $3.9 million of related unamortized debt issuance costs that had no future economic benefit. Refer to Note 11</w:t>
      </w:r>
      <w:r>
        <w:rPr>
          <w:rFonts w:ascii="Arial" w:cs="Arial" w:eastAsia="Arial" w:hAnsi="Arial"/>
          <w:sz w:val="18"/>
          <w:szCs w:val="18"/>
          <w:i w:val="1"/>
          <w:iCs w:val="1"/>
          <w:color w:val="auto"/>
        </w:rPr>
        <w:t>. Debt</w:t>
      </w:r>
      <w:r>
        <w:rPr>
          <w:rFonts w:ascii="Arial" w:cs="Arial" w:eastAsia="Arial" w:hAnsi="Arial"/>
          <w:sz w:val="18"/>
          <w:szCs w:val="18"/>
          <w:color w:val="auto"/>
        </w:rPr>
        <w:t>, within the notes to consolidated financial statements for additional details regarding this matter. In May 2013, we refinanced and amended our previous credit agreement and effectively increased our borrowing by approximately $ 236.1 million, with net proceeds used primarily for working capital requirements and other general corporate purposes. Accordingly, we accelerated the recognition of $8.0 million of related unamortized debt issuance costs that had no future economic benefit.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Our effective income tax rate was 39.6%, 37.6%, and 39.4% for 2014, 2013, and 2012, respectively. The increase in our effective tax rate and income tax expense for 2014 compared to 2013 was primary due to a release of the valuation allowance, larger than usual incentive stock option disqualifying dispositions, and utilization of a business energy tax credit in 2013.</w:t>
      </w:r>
    </w:p>
    <w:p>
      <w:pPr>
        <w:spacing w:after="0" w:line="202"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The decrease in our effective tax rate for 2013 and income tax expense for 2012 was primarily due to a release of the valuation allowance, larger than usual incentive stock option disqualifying dispositions and utilization of a business energy tax credit.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changes in cash flow data is provided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70"/>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cash flows provided by (used in):</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232,242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160,117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254,268</w:t>
            </w:r>
          </w:p>
        </w:tc>
      </w:tr>
      <w:tr>
        <w:trPr>
          <w:trHeight w:val="280"/>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(91,669)</w:t>
            </w:r>
          </w:p>
        </w:tc>
      </w:tr>
      <w:tr>
        <w:trPr>
          <w:trHeight w:val="264"/>
        </w:trPr>
        <w:tc>
          <w:tcPr>
            <w:tcW w:w="7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Financing activities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(34,985)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(417,110)</w:t>
            </w:r>
          </w:p>
        </w:tc>
      </w:tr>
      <w:tr>
        <w:trPr>
          <w:trHeight w:val="25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50,323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(254,511)</w:t>
            </w:r>
          </w:p>
        </w:tc>
      </w:tr>
      <w:tr>
        <w:trPr>
          <w:trHeight w:val="264"/>
        </w:trPr>
        <w:tc>
          <w:tcPr>
            <w:tcW w:w="7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516,584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466,261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720,772</w:t>
            </w:r>
          </w:p>
        </w:tc>
      </w:tr>
      <w:tr>
        <w:trPr>
          <w:trHeight w:val="24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 end of year</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412,332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516,584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clients' behaviors.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06" w:right="239" w:bottom="1440" w:gutter="0" w:footer="0" w:header="0"/>
        </w:sectPr>
      </w:pPr>
    </w:p>
    <w:bookmarkStart w:id="52" w:name="page53"/>
    <w:bookmarkEnd w:id="52"/>
    <w:p>
      <w:pPr>
        <w:ind w:right="100" w:firstLine="486"/>
        <w:spacing w:after="0" w:line="252" w:lineRule="auto"/>
        <w:rPr>
          <w:sz w:val="20"/>
          <w:szCs w:val="20"/>
          <w:color w:val="auto"/>
        </w:rPr>
      </w:pPr>
      <w:r>
        <w:rPr>
          <w:rFonts w:ascii="Arial" w:cs="Arial" w:eastAsia="Arial" w:hAnsi="Arial"/>
          <w:sz w:val="18"/>
          <w:szCs w:val="18"/>
          <w:color w:val="auto"/>
        </w:rPr>
        <w:t>Cash flows from operating activities increased in 2014 when compared to 2013 primarily due to the impact of client trading and settlement activity, which represented a net source of funds of $20.1 million in 2014 compared to a net use of funds of $161.2 million in 2013. Additionally, increases in depreciation and amortization expense due to capital assets placed into service during the latter half of 2013 and increased levels of capital expenditures in 2014, primarily related to the San Diego office building and capitalized software, contributed to the increase in operating activities, which were offset by increases in other assets, including prepaid expenses and deferred compensation related to advisors.</w:t>
      </w:r>
    </w:p>
    <w:p>
      <w:pPr>
        <w:spacing w:after="0" w:line="209"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Cash flows from operating activities decreased in 2013 when compared to 2012 primarily due to the impact of client trading and settlement activity, which represented a net use of funds of $161.2 million in 2013 compared to a net source of funds of $51.6 million in 2012. The increased use of cash for client trading and settlement activities was offset in part by higher net income in 2013 compared to 2012, increase in depreciation and amortization expense in 2013 compared to 2012, and a decrease in cash generated from excess tax benefits arising from share-based compensation in 2013 compared to 2012.</w:t>
      </w:r>
    </w:p>
    <w:p>
      <w:pPr>
        <w:spacing w:after="0" w:line="206"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Net cash used in investing activities during 2014 increased in comparison to 2013 due to an increase of capital expenditures related to business technology, real estate and facilities, and the purchase of goodwill and other intangible assets of a third party.</w:t>
      </w:r>
    </w:p>
    <w:p>
      <w:pPr>
        <w:spacing w:after="0" w:line="196"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Net cash used in investing activities during 2013 decreased in comparison to 2012 due to $43.7 million of acquisition costs, offset by an increase of capital expenditures in 2013 compared to 2012.</w:t>
      </w:r>
    </w:p>
    <w:p>
      <w:pPr>
        <w:spacing w:after="0" w:line="1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Cash flows used in financing activities in 2014 increased in comparison to 2013 as a result of an increase in cash used to repay senior credit facilities and a revolving line of credit and repurchases of outstanding common stock, offset by a decrease in proceeds from senior credit facilities in 2014 compared to 2013.</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Cash flows used in financing activities in 2013 decreased in comparison to 2012 as a result of a decrease in repayments of senior secured credit facilities which was $866.6 million in 2013, substantially all related to the May 2013 refinancing, compared to $1,364.8 million in 2012, due primarily to the March 2012 refinancing, and a decrease in cash dividends paid which was $68.0 million in 2013 compared to $248.8 million in 2012, offset by a decrease in proceeds from senior credit facilities which was $1,079.0 million in 2013 compared to $1,330.7 million in 2012 and a decrease in cash generated from excess tax benefits arising from share-based compensation in 2013 compared to 2012.</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amended credit agreement, will be adequate to satisfy our working capital needs, the payment of all of our obligations, and the funding of anticipated capital expenditures for the foreseeable future. In addition, we have certain capital adequacy requirements due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 See Note 14.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consolidated financial statements for additional information regarding our share repurchases.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payment, timing, and amount of any dividends are subject to approval by our Board as well as certain limits under our credit facilities.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consolidated financial statements for additional information regarding our dividends.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6" w:right="239" w:bottom="1440" w:gutter="0" w:footer="0" w:header="0"/>
        </w:sectPr>
      </w:pPr>
    </w:p>
    <w:bookmarkStart w:id="53" w:name="page54"/>
    <w:bookmarkEnd w:id="53"/>
    <w:p>
      <w:pPr>
        <w:ind w:right="20"/>
        <w:spacing w:after="0" w:line="252" w:lineRule="auto"/>
        <w:rPr>
          <w:sz w:val="20"/>
          <w:szCs w:val="20"/>
          <w:color w:val="auto"/>
        </w:rPr>
      </w:pPr>
      <w:r>
        <w:rPr>
          <w:rFonts w:ascii="Arial" w:cs="Arial" w:eastAsia="Arial" w:hAnsi="Arial"/>
          <w:sz w:val="18"/>
          <w:szCs w:val="18"/>
          <w:color w:val="auto"/>
        </w:rPr>
        <w:t>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that collateralize those margin accounts. As of December 31, 2014, we had received collateral primarily in connection with client margin loans with a fair value of approximately $353.2 million, which we can repledge, loan, or sell. Of these securities, approximately $32.3 million were client-owned securities pledged to the Options Clearing Corporation as collateral to secure client obligations related to options positions. As of December 31, 2014 there were no restrictions that materially limited our ability to repledge, loan, or sell the remaining $320.9 million of client collateral.</w:t>
      </w:r>
    </w:p>
    <w:p>
      <w:pPr>
        <w:spacing w:after="0" w:line="98"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8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9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December 31, 2014, LPL Financial's excess net capital was $95.2 million.</w:t>
      </w:r>
    </w:p>
    <w:p>
      <w:pPr>
        <w:spacing w:after="0" w:line="9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97" w:lineRule="exact"/>
        <w:rPr>
          <w:sz w:val="20"/>
          <w:szCs w:val="20"/>
          <w:color w:val="auto"/>
        </w:rPr>
      </w:pPr>
    </w:p>
    <w:p>
      <w:pPr>
        <w:jc w:val="both"/>
        <w:ind w:right="800" w:firstLine="486"/>
        <w:spacing w:after="0" w:line="256" w:lineRule="auto"/>
        <w:rPr>
          <w:sz w:val="20"/>
          <w:szCs w:val="20"/>
          <w:color w:val="auto"/>
        </w:rPr>
      </w:pPr>
      <w:r>
        <w:rPr>
          <w:rFonts w:ascii="Arial" w:cs="Arial" w:eastAsia="Arial" w:hAnsi="Arial"/>
          <w:sz w:val="18"/>
          <w:szCs w:val="18"/>
          <w:color w:val="auto"/>
        </w:rPr>
        <w:t>Our subsidiary,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23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On October 1, 2014, we entered into the Second Amendment, Extension and Incremental Assumption Agreement (“Credit Agreement”) with its wholly owned subsidiary, LPL Holdings, Inc., the other parties thereto. The Credit Agreement amends the our previous credit agreement, which was dated May 13, 2013. 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706" w:right="279" w:bottom="1440" w:gutter="0" w:footer="0" w:header="0"/>
        </w:sectPr>
      </w:pPr>
    </w:p>
    <w:bookmarkStart w:id="54" w:name="page55"/>
    <w:bookmarkEnd w:id="54"/>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in the Amended Credit Agreement) to an adjusted EBITDA reflecting financial covenants in our Credit Agreement to exceed certain prescribed levels set forth in the Credit Agreement. Under our interest coverage ratio test, we covenant not to allow the ratio of our Credit Agreement Adjusted EBITDA to our consolidated interest expense (as defined in the Credit Agreement) to be less than certain prescribed levels set forth in the Credit Agreement. Each of our financial ratios is measured at the end of each fiscal quarter.</w:t>
      </w:r>
    </w:p>
    <w:p>
      <w:pPr>
        <w:spacing w:after="0" w:line="207"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As of December 31, 2014 we were in compliance with all of our covenant requirements. Our covenant requirements and actual ratios were as follows:</w:t>
      </w:r>
    </w:p>
    <w:p>
      <w:pPr>
        <w:spacing w:after="0" w:line="152"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December 31, 2014</w:t>
            </w:r>
          </w:p>
        </w:tc>
      </w:tr>
      <w:tr>
        <w:trPr>
          <w:trHeight w:val="198"/>
        </w:trPr>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Covenant</w:t>
            </w:r>
          </w:p>
        </w:tc>
        <w:tc>
          <w:tcPr>
            <w:tcW w:w="1140" w:type="dxa"/>
            <w:vAlign w:val="bottom"/>
          </w:tcPr>
          <w:p>
            <w:pPr>
              <w:spacing w:after="0"/>
              <w:rPr>
                <w:sz w:val="17"/>
                <w:szCs w:val="17"/>
                <w:color w:val="auto"/>
              </w:rPr>
            </w:pPr>
          </w:p>
        </w:tc>
      </w:tr>
      <w:tr>
        <w:trPr>
          <w:trHeight w:val="228"/>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Ratio</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Actual Ratio</w:t>
            </w:r>
          </w:p>
        </w:tc>
      </w:tr>
      <w:tr>
        <w:trPr>
          <w:trHeight w:val="257"/>
        </w:trPr>
        <w:tc>
          <w:tcPr>
            <w:tcW w:w="4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2.70</w:t>
            </w:r>
          </w:p>
        </w:tc>
      </w:tr>
      <w:tr>
        <w:trPr>
          <w:trHeight w:val="251"/>
        </w:trPr>
        <w:tc>
          <w:tcPr>
            <w:tcW w:w="4840" w:type="dxa"/>
            <w:vAlign w:val="bottom"/>
            <w:gridSpan w:val="2"/>
          </w:tcPr>
          <w:p>
            <w:pPr>
              <w:ind w:left="40"/>
              <w:spacing w:after="0"/>
              <w:rPr>
                <w:sz w:val="20"/>
                <w:szCs w:val="20"/>
                <w:color w:val="auto"/>
              </w:rPr>
            </w:pPr>
            <w:r>
              <w:rPr>
                <w:rFonts w:ascii="Arial" w:cs="Arial" w:eastAsia="Arial" w:hAnsi="Arial"/>
                <w:sz w:val="16"/>
                <w:szCs w:val="16"/>
                <w:color w:val="auto"/>
              </w:rPr>
              <w:t>Interest Coverage (Minimum)</w:t>
            </w:r>
          </w:p>
        </w:tc>
        <w:tc>
          <w:tcPr>
            <w:tcW w:w="1080" w:type="dxa"/>
            <w:vAlign w:val="bottom"/>
          </w:tcPr>
          <w:p>
            <w:pPr>
              <w:jc w:val="center"/>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1"/>
                <w:szCs w:val="21"/>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color w:val="auto"/>
              </w:rPr>
              <w:t>10.61</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300" w:firstLine="486"/>
        <w:spacing w:after="0" w:line="254"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Company commitments to extend credit. For information on these arrangements, see Note 13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and Note 20</w:t>
      </w:r>
      <w:r>
        <w:rPr>
          <w:rFonts w:ascii="Arial" w:cs="Arial" w:eastAsia="Arial" w:hAnsi="Arial"/>
          <w:sz w:val="18"/>
          <w:szCs w:val="18"/>
          <w:i w:val="1"/>
          <w:iCs w:val="1"/>
          <w:color w:val="auto"/>
        </w:rPr>
        <w:t xml:space="preserve">. Financial Instruments with Off-Balance-Sheet Credit Risk and Concentrations of Credit Risk, </w:t>
      </w:r>
      <w:r>
        <w:rPr>
          <w:rFonts w:ascii="Arial" w:cs="Arial" w:eastAsia="Arial" w:hAnsi="Arial"/>
          <w:sz w:val="18"/>
          <w:szCs w:val="18"/>
          <w:color w:val="auto"/>
        </w:rPr>
        <w:t>within the notes to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December 31,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79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2"/>
                <w:szCs w:val="22"/>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&lt; 1 Year</w:t>
            </w:r>
          </w:p>
        </w:tc>
        <w:tc>
          <w:tcPr>
            <w:tcW w:w="120" w:type="dxa"/>
            <w:vAlign w:val="bottom"/>
          </w:tcPr>
          <w:p>
            <w:pPr>
              <w:spacing w:after="0"/>
              <w:rPr>
                <w:sz w:val="22"/>
                <w:szCs w:val="22"/>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1-3 Years</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4-5 Years</w:t>
            </w:r>
          </w:p>
        </w:tc>
        <w:tc>
          <w:tcPr>
            <w:tcW w:w="220" w:type="dxa"/>
            <w:vAlign w:val="bottom"/>
          </w:tcPr>
          <w:p>
            <w:pPr>
              <w:spacing w:after="0"/>
              <w:rPr>
                <w:sz w:val="22"/>
                <w:szCs w:val="22"/>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b w:val="1"/>
                <w:bCs w:val="1"/>
                <w:color w:val="auto"/>
              </w:rPr>
              <w:t>&gt; 5 Years</w:t>
            </w:r>
          </w:p>
        </w:tc>
      </w:tr>
      <w:tr>
        <w:trPr>
          <w:trHeight w:val="260"/>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Leases and other obligations(1)(2)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707,765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80,775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164,647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93,058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369,285</w:t>
            </w:r>
          </w:p>
        </w:tc>
      </w:tr>
      <w:tr>
        <w:trPr>
          <w:trHeight w:val="260"/>
        </w:trPr>
        <w:tc>
          <w:tcPr>
            <w:tcW w:w="4120" w:type="dxa"/>
            <w:vAlign w:val="bottom"/>
          </w:tcPr>
          <w:p>
            <w:pPr>
              <w:ind w:left="80"/>
              <w:spacing w:after="0"/>
              <w:rPr>
                <w:sz w:val="20"/>
                <w:szCs w:val="20"/>
                <w:color w:val="auto"/>
              </w:rPr>
            </w:pPr>
            <w:r>
              <w:rPr>
                <w:rFonts w:ascii="Arial" w:cs="Arial" w:eastAsia="Arial" w:hAnsi="Arial"/>
                <w:sz w:val="16"/>
                <w:szCs w:val="16"/>
                <w:color w:val="auto"/>
              </w:rPr>
              <w:t>Senior secured credit facilities(3)</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1,634,258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120,839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30,291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1,483,128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interest payments(4)</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247,206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111,826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87,691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1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Commitment fee on revolving line of credit(5)</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1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contractual cash obligations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2,598,344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251,222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312,520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1,665,317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369,285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340" w:right="20" w:hanging="332"/>
        <w:spacing w:after="0" w:line="25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long-term contractual obligation with a third-party service provider for the outsourcing of certain functions. The table above includes the minimum payments due over the duration of the contract. The contractual obligation may be canceled, subject to a termination penalty that is approximately equal to the initial annual minimum payment. The amount of the termination penalty steps down ratably through the passage of time. Future minimum payments have not been reduced by this termination penalty. Additionally, included in the table above are obligations related to the development of land in South Carolina for office space. Under development and agency contracts we expect to pay a pro rata share equal to 27.5% of the design and construction costs, which are expected to be incurred through 2017. The remaining amounts will be paid by the landlord. Additionally, the Company has entered into lease agreements for the office space once developed. These leases, also included above, have an initial lease term of 20 years that commence once the develop is complete and we take occupancy of the buildings.</w:t>
      </w:r>
    </w:p>
    <w:p>
      <w:pPr>
        <w:spacing w:after="0" w:line="50" w:lineRule="exact"/>
        <w:rPr>
          <w:rFonts w:ascii="Arial" w:cs="Arial" w:eastAsia="Arial" w:hAnsi="Arial"/>
          <w:sz w:val="18"/>
          <w:szCs w:val="18"/>
          <w:color w:val="auto"/>
        </w:rPr>
      </w:pPr>
    </w:p>
    <w:p>
      <w:pPr>
        <w:ind w:left="340" w:right="40" w:hanging="332"/>
        <w:spacing w:after="0" w:line="25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Future minimum payments for applicable leases have not been reduced by minimum sublease rental income of $3.0 million due in the future under noncancelable subleases. See Note 13.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within the notes to consolidated financial statements for further detail on operating lease obligations and obligations under noncancelable service contracts.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52" w:right="239" w:bottom="1440" w:gutter="0" w:footer="0" w:header="0"/>
        </w:sectPr>
      </w:pPr>
    </w:p>
    <w:bookmarkStart w:id="55" w:name="page56"/>
    <w:bookmarkEnd w:id="55"/>
    <w:p>
      <w:pPr>
        <w:ind w:left="340" w:right="100" w:hanging="332"/>
        <w:spacing w:after="0" w:line="282"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principal payments under our Credit Agreement. 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17" w:lineRule="exact"/>
        <w:rPr>
          <w:rFonts w:ascii="Arial" w:cs="Arial" w:eastAsia="Arial" w:hAnsi="Arial"/>
          <w:sz w:val="18"/>
          <w:szCs w:val="18"/>
          <w:color w:val="auto"/>
        </w:rPr>
      </w:pPr>
    </w:p>
    <w:p>
      <w:pPr>
        <w:ind w:left="340" w:right="240" w:hanging="332"/>
        <w:spacing w:after="0" w:line="262"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variable interest payments under our Credit Agreement. Variable interest payments assume the applicable interest rates at December 31, 2014 remain unchanged. 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16"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the revolving credit facility under our Credit Agreement. 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12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As of December 31, 2014, we have a liability for unrecognized tax benefits of $21.0 million, which we have included in income taxes payable in the consolidated statements of financial condition. This amount has been excluded from the contractual obligations table because we are unable to reasonably predict the ultimate amount or timing of future tax payments.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160" w:firstLine="486"/>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8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At December 31, 2014,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40" w:top="580"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consolidated financial statements are prepared in accordance with GAAP, which require management to make estimates, judgments, and assumptions that affect the amounts reported in the consolidated financial statements and accompanying notes. We believe that of our critical accounting policies, the following are noteworthy because they require management to make estimates regarding matters that are uncertain and susceptible to change where such change may result in a material adverse impact on our financial position and reported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Substantially all of our revenues are based on contractual arrangements. In determining the appropriate recognition of commissions, we review the terms and conditions of the brokerage account agreements between us and our advisors' clients, representative agreements with our advisors, which include payout rates and terms, and selling agreements with product sponsors for packaged investment products such as mutual funds, annuities, insurance and alternative investments. In determining the appropriate recognition of advisory revenues, we review the terms and conditions of the advisory agreements between the advisors' clients and the applicable RIA, representative agreements with advisors, and agreements with third parties who provide specific investment management or investment strategies.</w:t>
      </w:r>
    </w:p>
    <w:p>
      <w:pPr>
        <w:spacing w:after="0" w:line="101" w:lineRule="exact"/>
        <w:rPr>
          <w:sz w:val="20"/>
          <w:szCs w:val="20"/>
          <w:color w:val="auto"/>
        </w:rPr>
      </w:pPr>
    </w:p>
    <w:p>
      <w:pPr>
        <w:ind w:right="600"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us in advance of the performance of service are deferred and recognized as revenue when earned.</w:t>
      </w:r>
    </w:p>
    <w:p>
      <w:pPr>
        <w:spacing w:after="0" w:line="9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auto"/>
        </w:rPr>
        <w:t>Management considers the nature of our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we use to determine whether to record revenue on a gross or net basis are whether:</w:t>
      </w:r>
    </w:p>
    <w:p>
      <w:pPr>
        <w:spacing w:after="0" w:line="6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primarily responsible for the service to the advisor and its client;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discretion in establishing fees paid by the client and fees due to the third-party service provider;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involved in the determination of product or service specifications.</w:t>
      </w:r>
    </w:p>
    <w:p>
      <w:pPr>
        <w:spacing w:after="0" w:line="17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When client fees include a portion of charges that are paid to another party and we are primarily responsible for providing the service to the client, we recognize revenue on a gross basis in an amount equal to the fee paid by the client. The cost of revenues recognized by us is the amount due to the other party and is recorded as production expense.</w:t>
      </w:r>
    </w:p>
    <w:p>
      <w:pPr>
        <w:spacing w:after="0" w:line="202"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we only recognize the net amount retained by us. The portion of the fees that are collected from the client by us and remitted to the other party are considered pass through amounts and accordingly are not a component of revenues or cost of revenues.</w:t>
      </w:r>
    </w:p>
    <w:p>
      <w:pPr>
        <w:spacing w:after="0" w:line="20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Commission revenue represents gross commissions generated by our advisors for their clients' purchases and sales of securities, and various other financial products such as mutual funds, variable and fixed annuities, alternative investments, fixed income, insurance, group annuities, and option and commodity transactions. We generate two types of commission revenues: front-end sales commissions that occur at the point of sale, as well as trailing commissions for which we provide ongoing support, awareness, and education to clients of our advisors.</w:t>
      </w:r>
    </w:p>
    <w:p>
      <w:pPr>
        <w:spacing w:after="0" w:line="2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We recognize front-end sales commissions as revenue on a trade-date basis, which is when our performance obligations in generating the commissions have been substantially completed. We earn commissions on a significant volume of transactions that are placed by our advisors directly with product sponsors, particularly with regard to mutual fund, 529 education savings plan, and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relating to these products in prior periods.</w:t>
      </w:r>
    </w:p>
    <w:p>
      <w:pPr>
        <w:spacing w:after="0" w:line="20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Commission revenue includes mutual fund, 529 education savings plan and fixed and variable product trailing fees which are recurring in nature. These trailing fees are earned by us, based on a percentage of the current market value of clients' investment holdings in trail-eligible assets, and recognized over the period during which</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38" w:right="259" w:bottom="1440" w:gutter="0" w:footer="0" w:header="0"/>
        </w:sectPr>
      </w:pPr>
    </w:p>
    <w:bookmarkStart w:id="57" w:name="page58"/>
    <w:bookmarkEnd w:id="57"/>
    <w:p>
      <w:pPr>
        <w:ind w:right="20"/>
        <w:spacing w:after="0" w:line="254" w:lineRule="auto"/>
        <w:rPr>
          <w:sz w:val="20"/>
          <w:szCs w:val="20"/>
          <w:color w:val="auto"/>
        </w:rPr>
      </w:pPr>
      <w:r>
        <w:rPr>
          <w:rFonts w:ascii="Arial" w:cs="Arial" w:eastAsia="Arial" w:hAnsi="Arial"/>
          <w:sz w:val="18"/>
          <w:szCs w:val="18"/>
          <w:color w:val="auto"/>
        </w:rPr>
        <w:t>services are performed. Because trail commission revenues are generally paid in arrears, management estimates the majority of trail commission revenues earned during each period. These estimates are based on a number of factors including market levels and the amount of trail commission revenues received in prior periods. The amount of such accruals are classified within receivables from product sponsors, broker-dealers, and clearing organizations in the consolidated statements of financial condition.</w:t>
      </w:r>
    </w:p>
    <w:p>
      <w:pPr>
        <w:spacing w:after="0" w:line="204"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A substantial portion of our commission revenue is ultimately paid to our advisors. We record an estimate for commissions payable based upon payout ratios for each product for which we have accrued commission revenue. Such amounts are recorded by us as production expense.</w:t>
      </w:r>
    </w:p>
    <w:p>
      <w:pPr>
        <w:spacing w:after="0" w:line="202" w:lineRule="exact"/>
        <w:rPr>
          <w:sz w:val="20"/>
          <w:szCs w:val="20"/>
          <w:color w:val="auto"/>
        </w:rPr>
      </w:pPr>
    </w:p>
    <w:p>
      <w:pPr>
        <w:ind w:right="380" w:firstLine="486"/>
        <w:spacing w:after="0" w:line="256" w:lineRule="auto"/>
        <w:rPr>
          <w:sz w:val="20"/>
          <w:szCs w:val="20"/>
          <w:color w:val="auto"/>
        </w:rPr>
      </w:pPr>
      <w:r>
        <w:rPr>
          <w:rFonts w:ascii="Arial" w:cs="Arial" w:eastAsia="Arial" w:hAnsi="Arial"/>
          <w:sz w:val="18"/>
          <w:szCs w:val="18"/>
          <w:color w:val="auto"/>
        </w:rPr>
        <w:t>We record fees charged to clients as advisory fee revenue in advisory accounts where LPL Financial or Independent Advisers Group Corporation (“IAG”) is the RIA. A substantial portion of these advisory fees are paid to the related advisor and are recorded as production expense.</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pursuant to the Investment Advisers Act of 1940, rather than using our corporate RIA. These stand-alone RIAs ("Independent RIA") engage us for clearing, regulatory, and custody services, as well as access to our investment advisory platforms. The advisory revenue generated by these Independent RIAs is earned by the advisors, and accordingly not included in our advisory fee revenue. We charge administrative fees based on the value of assets within these advisory accounts, and classify such fees as advisory revenues.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Assessing the probability of a loss occurring and the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When it is not probable, but at least reasonably possible that a loss has been incurred, a disclosure of fact is made when the underlying loss or range of losses can also be reasonably estimated. The Company estimates that, as of December 31, 2014, exposure to those losses could range from $0 to $15 million in excess of the accrued liability, if any, related to those matters. Due to the inherent unpredictability of such matters, the Company may have exposure to losses that are not yet predictable or cannot yet be reasonably estimated in addition to those amounts that have been accrued or disclosed.</w:t>
      </w:r>
    </w:p>
    <w:p>
      <w:pPr>
        <w:spacing w:after="0" w:line="10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maintains insurance coverage for certain legal proceedings, including those involving client claims. With respect to client claims, the estimated losses on many of the pending matters are less than the applicable deductibles of the insurance policies. The Company is also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 and Other Intangibles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in interim periods if certain events occur indicating that the carrying amounts may be impaired. If a qualitative assessment is used and we determine that the fair value of a reporting unit or indefinite-lived intangible asset is more-likely-than-not (i.e., a likelihood of more than 50%) less than its carrying amount, a quantitative impairment test will be performed. If goodwill is quantitatively assessed for impairment, a two-step approach is applied. First, we compare the estimated fair value of the reporting unit in which the goodwill resides to its carrying value. The second step, if necessary, measures the amount of such impairment by comparing the implied fair value of goodwill to its carrying value. Other indefinite-lived intangible assets are quantitatively assessed for impairment, if necessary, by comparing their estimated fair values to their carrying values. If the carrying value exceeds the fair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06" w:right="239" w:bottom="1440" w:gutter="0" w:footer="0" w:header="0"/>
        </w:sectPr>
      </w:pPr>
    </w:p>
    <w:bookmarkStart w:id="58" w:name="page59"/>
    <w:bookmarkEnd w:id="58"/>
    <w:p>
      <w:pPr>
        <w:ind w:right="40"/>
        <w:spacing w:after="0" w:line="262" w:lineRule="auto"/>
        <w:rPr>
          <w:sz w:val="20"/>
          <w:szCs w:val="20"/>
          <w:color w:val="auto"/>
        </w:rPr>
      </w:pPr>
      <w:r>
        <w:rPr>
          <w:rFonts w:ascii="Arial" w:cs="Arial" w:eastAsia="Arial" w:hAnsi="Arial"/>
          <w:sz w:val="18"/>
          <w:szCs w:val="18"/>
          <w:color w:val="auto"/>
        </w:rPr>
        <w:t>value, the difference is recorded as impairment. No impairment of goodwill or other indefinite-live intangible assets has been recognized during the years ended December 31, 2014, 2013, and 2012.</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Long-lived assets, such as property, plant and equipment and intangible assets subject to amortization, are reviewed for impairment when there is evidence that events or changes in circumstances indicate that the carrying amount of an asset or asset group may not be recoverable. Recoverability of assets to be held and used is measured by comparing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Long-lived assets to be disposed of by sale are reported at the lower of their carrying amounts or their estimated fair values less costs to sell and are not depreciated.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In preparing the consolidated financial statements, we estimate income tax expense based on various jurisdictions in which we conduct business. We then must assess the likelihood that the deferred tax assets will be realized. A valuation allowance is established to the extent that it is more-likely-than-not that such deferred tax assets will not be realized. When we establish a valuation allowance or modify the existing allowance in a certain reporting period, we generally record a corresponding increase or decrease to tax expense in the consolidated statements of income. Management makes significant judgments in determining the provision for income taxes, the deferred tax assets and liabilities, and any valuation allowances recorded against the deferred tax asset. Changes in the estimate of these taxes occur periodically due to changes in the tax rates, changes in business operations, implementation of tax planning strategies, resolution with taxing authorities of issues where we had previously taken certain tax positions, and newly enacted statutory, judicial, and regulatory guidance. These changes could have a material effect on our consolidated statements of income, financial condition, or cash flows in the period or periods in which they occur.</w:t>
      </w:r>
    </w:p>
    <w:p>
      <w:pPr>
        <w:spacing w:after="0" w:line="21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recognize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Health Care Self-Insurance</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are partially self-insured for benefits paid under employee healthcare programs. Self-insurance estimates are determined with the assistance of insurance actuaries, based on historical experience and trends related to claims and payments, information provided by the insurance broker, and industry experience. We have coverage for excess losses on either an individual or an aggregate case basis. Estimates of future claim costs are recorded on an undiscounted basis, and are recognized as a liability within accounts payable and accrued liabilities in the consolidated statements of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Certain of our employees, officers, directors, advisors, and financial institutions participate in various long-term incentive plans that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0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recognize share-based compensation for equity awards granted to employees, officers, and directors as compensation and benefits expense on the consolidated statements of income. The fair value for stock options is estimated using a Black-Scholes valuation model on the grant date. The fair value of restricted stock awards and restricted stock units is equal to the closing price of the Company’s stock on the date of grant. Share-based compensation is recognized over the requisite service period of the individual awards, which generally equals the vesting period.</w:t>
      </w:r>
    </w:p>
    <w:p>
      <w:pPr>
        <w:spacing w:after="0" w:line="20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We recognize share-based compensation for equity awards granted to advisors and financial institutions as commissions and advisory expense on the consolidated statements of income. The fair value for stock options and warrants is estimated using a Black-Scholes valuation model on the date of grant and is revalued at each reporting period. The fair value of restricted stock units is equal to the market price of the Company’s stock on the last day of</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06" w:right="259" w:bottom="1440" w:gutter="0" w:footer="0" w:header="0"/>
        </w:sectPr>
      </w:pPr>
    </w:p>
    <w:bookmarkStart w:id="59" w:name="page60"/>
    <w:bookmarkEnd w:id="59"/>
    <w:p>
      <w:pPr>
        <w:ind w:right="400"/>
        <w:spacing w:after="0" w:line="262" w:lineRule="auto"/>
        <w:rPr>
          <w:sz w:val="20"/>
          <w:szCs w:val="20"/>
          <w:color w:val="auto"/>
        </w:rPr>
      </w:pPr>
      <w:r>
        <w:rPr>
          <w:rFonts w:ascii="Arial" w:cs="Arial" w:eastAsia="Arial" w:hAnsi="Arial"/>
          <w:sz w:val="18"/>
          <w:szCs w:val="18"/>
          <w:color w:val="auto"/>
        </w:rPr>
        <w:t>each reporting period. Share-based compensation is recognized over the requisite service period of the individual awards, which generally equals the vesting period.</w:t>
      </w:r>
    </w:p>
    <w:p>
      <w:pPr>
        <w:spacing w:after="0" w:line="196"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We must also make assumptions regarding the number of stock options, warrants, restricted stock awards, and restricted stock units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 See Note 15. </w:t>
      </w:r>
      <w:r>
        <w:rPr>
          <w:rFonts w:ascii="Arial" w:cs="Arial" w:eastAsia="Arial" w:hAnsi="Arial"/>
          <w:sz w:val="18"/>
          <w:szCs w:val="18"/>
          <w:i w:val="1"/>
          <w:iCs w:val="1"/>
          <w:color w:val="auto"/>
        </w:rPr>
        <w:t>Share-Based Compensation</w:t>
      </w:r>
      <w:r>
        <w:rPr>
          <w:rFonts w:ascii="Arial" w:cs="Arial" w:eastAsia="Arial" w:hAnsi="Arial"/>
          <w:sz w:val="18"/>
          <w:szCs w:val="18"/>
          <w:color w:val="auto"/>
        </w:rPr>
        <w:t>, for additional information regarding share-based compensation for equity awards granted.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When we acquire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w:t>
      </w:r>
    </w:p>
    <w:p>
      <w:pPr>
        <w:spacing w:after="0" w:line="206"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Accounting for business combinations requires our management to make significant estimates and assumptions, especially at the acquisition date with respect to intangible assets, liabilities assumed, and pre-acquisition contingencies. These assumptions are based in part on historical experience, market data, and information obtained from the management of the acquired companies and are inherently uncertain.</w:t>
      </w:r>
    </w:p>
    <w:p>
      <w:pPr>
        <w:spacing w:after="0" w:line="20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(i) future expected cash flows from client relationships, advisor relationships and product sponsor relationships; (ii) estimates to develop or use software; and (iii) discount rates.</w:t>
      </w:r>
    </w:p>
    <w:p>
      <w:pPr>
        <w:spacing w:after="0" w:line="202"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If we determine that a pre-acquisition contingency is probable in nature and estimable as of the acquisition date, we record our best estimate for such a contingency as a part of the preliminary purchase price allocation. We continue to gather information for and evaluate our pre-acquisition contingencies throughout the measurement period and if we make changes to the amounts recorded or if we identify additional pre-acquisition contingencies during the measurement period, such amounts will be included in the purchase price allocation during the measurement period and, subsequently, in our results of operations.</w:t>
      </w:r>
    </w:p>
    <w:p>
      <w:pPr>
        <w:spacing w:after="0" w:line="20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We may be required to pay future consideration to the former shareholders of acquired companies, depending upon the terms of the applicable purchase agreement, that is contingent upon the achievement of certain financial or operating targets. The fair value of the contingent consideration is determined using financial forecasts and other estimates that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our expectations of future performance. The change in the estimated fair value of contingent consideration has been classified as other expenses in the consolidated statements of income.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80" w:firstLine="486"/>
        <w:spacing w:after="0" w:line="282"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consolidated financial statements for a discussion of recent accounting pronouncements or changes in accounting pronouncements that are of significance, or potential significance, to us.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706" w:right="259" w:bottom="1440" w:gutter="0" w:footer="0" w:header="0"/>
        </w:sectPr>
      </w:pPr>
    </w:p>
    <w:bookmarkStart w:id="60" w:name="page61"/>
    <w:bookmarkEnd w:id="60"/>
    <w:p>
      <w:pPr>
        <w:ind w:right="5540"/>
        <w:spacing w:after="0" w:line="412" w:lineRule="auto"/>
        <w:rPr>
          <w:sz w:val="20"/>
          <w:szCs w:val="20"/>
          <w:color w:val="auto"/>
        </w:rPr>
      </w:pPr>
      <w:r>
        <w:rPr>
          <w:rFonts w:ascii="Arial" w:cs="Arial" w:eastAsia="Arial" w:hAnsi="Arial"/>
          <w:sz w:val="18"/>
          <w:szCs w:val="18"/>
          <w:b w:val="1"/>
          <w:bCs w:val="1"/>
          <w:color w:val="auto"/>
        </w:rPr>
        <w:t>Item 7A. Quantitative and Qualitative Disclosures About Market Risk Market Risk</w:t>
      </w:r>
    </w:p>
    <w:p>
      <w:pPr>
        <w:spacing w:after="0" w:line="6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10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broker-dealer support services department. Our research department develops model portfolios that are used by advisors in developing client portfolios. We currently maintain approximately 190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At December 31, 2014, the fair value of our trading securities owned were $13.5 million. Securities sold, but not yet purchased were $0.3 million at December 31, 2014. The fair value of securities included within other assets were $80.6 million at December 31, 2014. See Note 4</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within the notes to consolidated financial statements for information regarding the fair value of trading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owned, securities sold, but not yet purchased and other assets associated with our client facilitation activities. See Note 5</w:t>
      </w:r>
      <w:r>
        <w:rPr>
          <w:rFonts w:ascii="Arial" w:cs="Arial" w:eastAsia="Arial" w:hAnsi="Arial"/>
          <w:sz w:val="18"/>
          <w:szCs w:val="18"/>
          <w:i w:val="1"/>
          <w:iCs w:val="1"/>
          <w:color w:val="auto"/>
        </w:rPr>
        <w:t>. Held to Maturity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within the notes to consolidated financial statements for information regarding the fair value of securities held to maturity.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We are exposed to risk associated with changes in interest rates. As of December 31, 2014, all of the outstanding debt under our Amended Credit Agreement, $1.6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9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December 31, 2014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Outstanding at</w:t>
            </w:r>
          </w:p>
        </w:tc>
        <w:tc>
          <w:tcPr>
            <w:tcW w:w="1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gridSpan w:val="10"/>
          </w:tcPr>
          <w:p>
            <w:pPr>
              <w:jc w:val="right"/>
              <w:ind w:right="379"/>
              <w:spacing w:after="0"/>
              <w:rPr>
                <w:sz w:val="20"/>
                <w:szCs w:val="20"/>
                <w:color w:val="auto"/>
              </w:rPr>
            </w:pPr>
            <w:r>
              <w:rPr>
                <w:rFonts w:ascii="Arial" w:cs="Arial" w:eastAsia="Arial" w:hAnsi="Arial"/>
                <w:sz w:val="16"/>
                <w:szCs w:val="16"/>
                <w:b w:val="1"/>
                <w:bCs w:val="1"/>
                <w:color w:val="auto"/>
              </w:rPr>
              <w:t>Annual Impact of an Interest Rate Increase of</w:t>
            </w:r>
          </w:p>
        </w:tc>
      </w:tr>
      <w:tr>
        <w:trPr>
          <w:trHeight w:val="251"/>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Variable Interest</w:t>
            </w: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1"/>
                <w:szCs w:val="21"/>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25 Basis</w:t>
            </w:r>
          </w:p>
        </w:tc>
        <w:tc>
          <w:tcPr>
            <w:tcW w:w="14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50 Basis</w:t>
            </w:r>
          </w:p>
        </w:tc>
        <w:tc>
          <w:tcPr>
            <w:tcW w:w="12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100 Basis</w:t>
            </w:r>
          </w:p>
        </w:tc>
      </w:tr>
      <w:tr>
        <w:trPr>
          <w:trHeight w:val="283"/>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Points</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4,594</w:t>
            </w: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Term Loan B</w:t>
            </w: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1,064,883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5,484</w:t>
            </w:r>
          </w:p>
        </w:tc>
      </w:tr>
      <w:tr>
        <w:trPr>
          <w:trHeight w:val="24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1,524,258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11</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additional information.</w:t>
      </w:r>
    </w:p>
    <w:p>
      <w:pPr>
        <w:spacing w:after="0" w:line="135"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38" w:right="239" w:bottom="1440" w:gutter="0" w:footer="0" w:header="0"/>
        </w:sectPr>
      </w:pPr>
    </w:p>
    <w:bookmarkStart w:id="61" w:name="page62"/>
    <w:bookmarkEnd w:id="61"/>
    <w:p>
      <w:pPr>
        <w:ind w:right="220"/>
        <w:spacing w:after="0" w:line="254" w:lineRule="auto"/>
        <w:rPr>
          <w:sz w:val="20"/>
          <w:szCs w:val="20"/>
          <w:color w:val="auto"/>
        </w:rPr>
      </w:pPr>
      <w:r>
        <w:rPr>
          <w:rFonts w:ascii="Arial" w:cs="Arial" w:eastAsia="Arial" w:hAnsi="Arial"/>
          <w:sz w:val="18"/>
          <w:szCs w:val="18"/>
          <w:color w:val="auto"/>
        </w:rPr>
        <w:t>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04"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December 2014 was 0.12%. The following table reflects the approximate annual impact to asset-based revenues on our insured cash programs (assuming that client balances at December 31, 2014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right="239"/>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20" w:type="dxa"/>
            <w:vAlign w:val="bottom"/>
          </w:tcPr>
          <w:p>
            <w:pPr>
              <w:spacing w:after="0"/>
              <w:rPr>
                <w:sz w:val="16"/>
                <w:szCs w:val="16"/>
                <w:color w:val="auto"/>
              </w:rPr>
            </w:pPr>
          </w:p>
        </w:tc>
      </w:tr>
      <w:tr>
        <w:trPr>
          <w:trHeight w:val="228"/>
        </w:trPr>
        <w:tc>
          <w:tcPr>
            <w:tcW w:w="3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right="239"/>
              <w:spacing w:after="0"/>
              <w:rPr>
                <w:sz w:val="20"/>
                <w:szCs w:val="20"/>
                <w:color w:val="auto"/>
              </w:rPr>
            </w:pPr>
            <w:r>
              <w:rPr>
                <w:rFonts w:ascii="Arial" w:cs="Arial" w:eastAsia="Arial" w:hAnsi="Arial"/>
                <w:sz w:val="16"/>
                <w:szCs w:val="16"/>
                <w:b w:val="1"/>
                <w:bCs w:val="1"/>
                <w:color w:val="auto"/>
              </w:rPr>
              <w:t>Revenues per One Basis Point Change</w:t>
            </w:r>
          </w:p>
        </w:tc>
        <w:tc>
          <w:tcPr>
            <w:tcW w:w="72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0.00% - 0.25%</w:t>
            </w:r>
          </w:p>
        </w:tc>
        <w:tc>
          <w:tcPr>
            <w:tcW w:w="14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r>
      <w:tr>
        <w:trPr>
          <w:trHeight w:val="260"/>
        </w:trPr>
        <w:tc>
          <w:tcPr>
            <w:tcW w:w="3200" w:type="dxa"/>
            <w:vAlign w:val="bottom"/>
          </w:tcPr>
          <w:p>
            <w:pPr>
              <w:jc w:val="center"/>
              <w:spacing w:after="0"/>
              <w:rPr>
                <w:sz w:val="20"/>
                <w:szCs w:val="20"/>
                <w:color w:val="auto"/>
              </w:rPr>
            </w:pPr>
            <w:r>
              <w:rPr>
                <w:rFonts w:ascii="Arial" w:cs="Arial" w:eastAsia="Arial" w:hAnsi="Arial"/>
                <w:sz w:val="16"/>
                <w:szCs w:val="16"/>
                <w:color w:val="auto"/>
              </w:rPr>
              <w:t>0.26% - 1.25%</w:t>
            </w:r>
          </w:p>
        </w:tc>
        <w:tc>
          <w:tcPr>
            <w:tcW w:w="14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280"/>
        </w:trPr>
        <w:tc>
          <w:tcPr>
            <w:tcW w:w="3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1.26% - 2.70%</w:t>
            </w:r>
          </w:p>
        </w:tc>
        <w:tc>
          <w:tcPr>
            <w:tcW w:w="14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800</w:t>
            </w:r>
          </w:p>
        </w:tc>
      </w:tr>
    </w:tbl>
    <w:p>
      <w:pPr>
        <w:spacing w:after="0" w:line="107"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2.70%, may vary depending on the FRS committee's strategy in response to a change in interest rate levels, the significance of a change and actual balances at the time of such 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39"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by clients to support margin lending or derivative trading is insufficient to meet client’s contractual obligations to LPL. We bear credit risk on the activities of our advisors’ clients, including the execution, settlement and financing of various transactions on behalf of these clients.</w:t>
      </w:r>
    </w:p>
    <w:p>
      <w:pPr>
        <w:spacing w:after="0" w:line="2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$0.3 million during any of the years ended December 31, 2014, 2013, and 2012.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3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06" w:right="239" w:bottom="1440" w:gutter="0" w:footer="0" w:header="0"/>
        </w:sectPr>
      </w:pPr>
    </w:p>
    <w:bookmarkStart w:id="62" w:name="page63"/>
    <w:bookmarkEnd w:id="62"/>
    <w:p>
      <w:pPr>
        <w:ind w:right="220"/>
        <w:spacing w:after="0" w:line="252" w:lineRule="auto"/>
        <w:rPr>
          <w:sz w:val="20"/>
          <w:szCs w:val="20"/>
          <w:color w:val="auto"/>
        </w:rPr>
      </w:pPr>
      <w:r>
        <w:rPr>
          <w:rFonts w:ascii="Arial" w:cs="Arial" w:eastAsia="Arial" w:hAnsi="Arial"/>
          <w:sz w:val="18"/>
          <w:szCs w:val="18"/>
          <w:color w:val="auto"/>
        </w:rPr>
        <w:t>and damage to our reputation. Business continuity plans exist for critical systems, and redundancies are built into the systems as deemed appropriate. In order to assist in the mitigation and control of operational risk, we have an Operational Risk Management department and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section within Part I, “Item 1A. Risk Factors” for more information about the risks associated with our technology, including risks related to security, and the potential related effects on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of this Annual Report on Form 10-K. During the period presented in this Annual Report on Form 10-K,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for more information about the risks associated with operating within our regulatory environment, and the potential related effects on our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Our risk management governance approach includes our Board of Directors (the “Board”) and certain of its committees; the Risk Oversight Committee of LPL Financial (the “ROC”) and its subcommittees; the Internal Audit Department and the Governance, Risk and Compliance (“GRC”) Department of LPL Financial; and business line management. We regularly reevaluate and, when necessary, modify our processes to improve the identification and escalation of risks and events.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0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 xml:space="preserve">The Audit Committee has mandated that the ROC oversee our risk management activities, including those of our subsidiaries. The Chief Risk Officer of LPL Financial serves as chair, and our Executive Vice President, Deputy General Counsel, Regulatory, serves as vice chair, of the ROC, which generally meets on a monthly basis with </w:t>
      </w:r>
      <w:r>
        <w:rPr>
          <w:rFonts w:ascii="Arial" w:cs="Arial" w:eastAsia="Arial" w:hAnsi="Arial"/>
          <w:sz w:val="18"/>
          <w:szCs w:val="18"/>
          <w:i w:val="1"/>
          <w:iCs w:val="1"/>
          <w:color w:val="auto"/>
        </w:rPr>
        <w:t>ad hoc</w:t>
      </w:r>
      <w:r>
        <w:rPr>
          <w:rFonts w:ascii="Arial" w:cs="Arial" w:eastAsia="Arial" w:hAnsi="Arial"/>
          <w:sz w:val="18"/>
          <w:szCs w:val="18"/>
          <w:color w:val="auto"/>
        </w:rPr>
        <w:t xml:space="preserve"> meetings as necessary. Each member of the Management Committee of LPL Financial and the three other Managing Directors (Managing Director, Chief Investment Officer; Managing Director, Independent Advisor Services; and Managing Director, Institution Services) serve on the ROC. Additional members of the Company’s senior management team are also included as ex-officio members, representing the key control areas of the Company. These individuals include, but are not limited to, the Chief Compliance Officer, Brokerage;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706" w:right="319" w:bottom="1440" w:gutter="0" w:footer="0" w:header="0"/>
        </w:sectPr>
      </w:pPr>
    </w:p>
    <w:bookmarkStart w:id="63" w:name="page64"/>
    <w:bookmarkEnd w:id="63"/>
    <w:p>
      <w:pPr>
        <w:jc w:val="both"/>
        <w:ind w:right="10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We also consider the Internal Audit Department to be a control group.</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Client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9"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Consolidated Financial Statements and Supplementary Data are included as an annex to this Annual Report on Form 10-K. See the Index to Consolidated Financial Statements and Supplementary Data on page F-1.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706"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ended December 31, 2014,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process and the preparation of our consolidated financial statements for external purposes in accordance with generally accepted accounting principles.</w:t>
      </w:r>
    </w:p>
    <w:p>
      <w:pPr>
        <w:spacing w:after="0" w:line="9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the consolidated financial statements in accordance with accounting principles generally accepted in the United States, and that receipts and expenditures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our consolidated financial statements.</w:t>
      </w:r>
    </w:p>
    <w:p>
      <w:pPr>
        <w:spacing w:after="0" w:line="10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 xml:space="preserve">As of December 31, 2014, management conducted an assessment of the effectiveness of our internal control over financial reporting based on the framework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has determined that our internal control over financial reporting as of December 31, 2014 was effective.</w:t>
      </w:r>
    </w:p>
    <w:p>
      <w:pPr>
        <w:spacing w:after="0" w:line="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Deloitte &amp; Touche LLP, our independent registered public accounting firm, has issued an audit report appearing on the following page on the effectiveness of our internal control over financial reporting as of December 31, 2014.</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73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internal control over financial reporting of LPL Financial Holdings Inc. and subsidiaries (the "Company") as of December 31, 2014, based on criteria established in Internal Control - Integrated Framework (2013)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6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2014, based on the criteria established in Internal Control - Integrated Framework (2013) issued by the Committee of Sponsoring Organizations of the Treadway Commission.</w:t>
      </w:r>
    </w:p>
    <w:p>
      <w:pPr>
        <w:spacing w:after="0" w:line="161"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2014 of the Company and our report dated February 20, 2015 expressed an unqualified opinion on those consolidated financial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59"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9B. Other Information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738" w:right="1440"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Other than the information relating to our executive officers provided below, the information required to be furnished pursuant to this item is incorporated by reference to the Company’s definitive proxy statement for the 2014 Annual Meeting of Stockholders.</w:t>
      </w:r>
    </w:p>
    <w:p>
      <w:pPr>
        <w:spacing w:after="0" w:line="1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provides certain information about each of the Company’s current executive officers as of the date this Annual Report on Form 10-K has been filed with the SEC:</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Name</w:t>
            </w:r>
          </w:p>
        </w:tc>
        <w:tc>
          <w:tcPr>
            <w:tcW w:w="27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8"/>
              </w:rPr>
              <w:t>Position</w:t>
            </w:r>
          </w:p>
        </w:tc>
        <w:tc>
          <w:tcPr>
            <w:tcW w:w="4440" w:type="dxa"/>
            <w:vAlign w:val="bottom"/>
          </w:tcPr>
          <w:p>
            <w:pPr>
              <w:spacing w:after="0"/>
              <w:rPr>
                <w:sz w:val="16"/>
                <w:szCs w:val="16"/>
                <w:color w:val="auto"/>
              </w:rPr>
            </w:pPr>
          </w:p>
        </w:tc>
      </w:tr>
      <w:tr>
        <w:trPr>
          <w:trHeight w:val="312"/>
        </w:trPr>
        <w:tc>
          <w:tcPr>
            <w:tcW w:w="3200" w:type="dxa"/>
            <w:vAlign w:val="bottom"/>
            <w:gridSpan w:val="2"/>
          </w:tcPr>
          <w:p>
            <w:pPr>
              <w:spacing w:after="0"/>
              <w:rPr>
                <w:sz w:val="20"/>
                <w:szCs w:val="20"/>
                <w:color w:val="auto"/>
              </w:rPr>
            </w:pPr>
            <w:r>
              <w:rPr>
                <w:rFonts w:ascii="Arial" w:cs="Arial" w:eastAsia="Arial" w:hAnsi="Arial"/>
                <w:sz w:val="16"/>
                <w:szCs w:val="16"/>
                <w:color w:val="auto"/>
              </w:rPr>
              <w:t>Mark S. Casady</w:t>
            </w:r>
          </w:p>
        </w:tc>
        <w:tc>
          <w:tcPr>
            <w:tcW w:w="300" w:type="dxa"/>
            <w:vAlign w:val="bottom"/>
          </w:tcPr>
          <w:p>
            <w:pPr>
              <w:jc w:val="center"/>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Chief Executive Officer and Chairman of the Board</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Dan H. Arnold</w:t>
            </w:r>
          </w:p>
        </w:tc>
        <w:tc>
          <w:tcPr>
            <w:tcW w:w="300" w:type="dxa"/>
            <w:vAlign w:val="bottom"/>
          </w:tcPr>
          <w:p>
            <w:pPr>
              <w:jc w:val="center"/>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David P. Bergers</w:t>
            </w:r>
          </w:p>
        </w:tc>
        <w:tc>
          <w:tcPr>
            <w:tcW w:w="300" w:type="dxa"/>
            <w:vAlign w:val="bottom"/>
          </w:tcPr>
          <w:p>
            <w:pPr>
              <w:jc w:val="center"/>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Legal and Government Relations, General Counsel</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Mimi Bock*</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Client Experience and Training</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Victor P. Fetter</w:t>
            </w:r>
          </w:p>
        </w:tc>
        <w:tc>
          <w:tcPr>
            <w:tcW w:w="300" w:type="dxa"/>
            <w:vAlign w:val="bottom"/>
          </w:tcPr>
          <w:p>
            <w:pPr>
              <w:jc w:val="center"/>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Chief Information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Mark R. Helliker</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Clearing and Compliance Services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J. Andrew Kalbaugh</w:t>
            </w:r>
          </w:p>
        </w:tc>
        <w:tc>
          <w:tcPr>
            <w:tcW w:w="300" w:type="dxa"/>
            <w:vAlign w:val="bottom"/>
          </w:tcPr>
          <w:p>
            <w:pPr>
              <w:jc w:val="center"/>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Institution Services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Sallie R. Larsen</w:t>
            </w:r>
          </w:p>
        </w:tc>
        <w:tc>
          <w:tcPr>
            <w:tcW w:w="300" w:type="dxa"/>
            <w:vAlign w:val="bottom"/>
          </w:tcPr>
          <w:p>
            <w:pPr>
              <w:jc w:val="center"/>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Chief Human Capital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Robert J. Moore</w:t>
            </w:r>
          </w:p>
        </w:tc>
        <w:tc>
          <w:tcPr>
            <w:tcW w:w="300" w:type="dxa"/>
            <w:vAlign w:val="bottom"/>
          </w:tcPr>
          <w:p>
            <w:pPr>
              <w:jc w:val="center"/>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President</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William Morrissey</w:t>
            </w:r>
          </w:p>
        </w:tc>
        <w:tc>
          <w:tcPr>
            <w:tcW w:w="300" w:type="dxa"/>
            <w:vAlign w:val="bottom"/>
          </w:tcPr>
          <w:p>
            <w:pPr>
              <w:jc w:val="center"/>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Independent Advisor Services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Michelle Oroschakoff</w:t>
            </w:r>
          </w:p>
        </w:tc>
        <w:tc>
          <w:tcPr>
            <w:tcW w:w="300" w:type="dxa"/>
            <w:vAlign w:val="bottom"/>
          </w:tcPr>
          <w:p>
            <w:pPr>
              <w:jc w:val="center"/>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Chief Risk Officer</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Ryan Parker</w:t>
            </w:r>
          </w:p>
        </w:tc>
        <w:tc>
          <w:tcPr>
            <w:tcW w:w="300" w:type="dxa"/>
            <w:vAlign w:val="bottom"/>
          </w:tcPr>
          <w:p>
            <w:pPr>
              <w:jc w:val="center"/>
              <w:spacing w:after="0"/>
              <w:rPr>
                <w:sz w:val="20"/>
                <w:szCs w:val="20"/>
                <w:color w:val="auto"/>
              </w:rPr>
            </w:pPr>
            <w:r>
              <w:rPr>
                <w:rFonts w:ascii="Arial" w:cs="Arial" w:eastAsia="Arial" w:hAnsi="Arial"/>
                <w:sz w:val="16"/>
                <w:szCs w:val="16"/>
                <w:color w:val="auto"/>
              </w:rPr>
              <w:t>40</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Investment and Planning Solutions</w:t>
            </w:r>
          </w:p>
        </w:tc>
      </w:tr>
      <w:tr>
        <w:trPr>
          <w:trHeight w:val="243"/>
        </w:trPr>
        <w:tc>
          <w:tcPr>
            <w:tcW w:w="3200" w:type="dxa"/>
            <w:vAlign w:val="bottom"/>
            <w:gridSpan w:val="2"/>
          </w:tcPr>
          <w:p>
            <w:pPr>
              <w:spacing w:after="0"/>
              <w:rPr>
                <w:sz w:val="20"/>
                <w:szCs w:val="20"/>
                <w:color w:val="auto"/>
              </w:rPr>
            </w:pPr>
            <w:r>
              <w:rPr>
                <w:rFonts w:ascii="Arial" w:cs="Arial" w:eastAsia="Arial" w:hAnsi="Arial"/>
                <w:sz w:val="16"/>
                <w:szCs w:val="16"/>
                <w:color w:val="auto"/>
              </w:rPr>
              <w:t>George B. White</w:t>
            </w:r>
          </w:p>
        </w:tc>
        <w:tc>
          <w:tcPr>
            <w:tcW w:w="300" w:type="dxa"/>
            <w:vAlign w:val="bottom"/>
          </w:tcPr>
          <w:p>
            <w:pPr>
              <w:jc w:val="center"/>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6"/>
                <w:szCs w:val="16"/>
                <w:color w:val="auto"/>
              </w:rPr>
              <w:t>Managing Director, Research and Chief Investment Officer</w:t>
            </w:r>
          </w:p>
        </w:tc>
      </w:tr>
    </w:tbl>
    <w:p>
      <w:pPr>
        <w:spacing w:after="0" w:line="181" w:lineRule="exact"/>
        <w:rPr>
          <w:sz w:val="20"/>
          <w:szCs w:val="20"/>
          <w:color w:val="auto"/>
        </w:rPr>
      </w:pPr>
    </w:p>
    <w:p>
      <w:pPr>
        <w:ind w:left="120" w:hanging="112"/>
        <w:spacing w:after="0"/>
        <w:tabs>
          <w:tab w:leader="none" w:pos="1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Identified in filings made pursuant to Section 16 of the Exchange Act under her legal name, Mary Frances Schott.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S. Casady — Chief Executive Officer and Chairman of the Board</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Mr. Casady is chairman of the board of directors and our chief executive officer. He joined us in May 2002 as chief operating officer, became our president in April 2003, and became our chief executive officer of LPL Financial in August 2004. He was named the Company's chairman in December 2005 and its chief executive officer in March 2006. Before joining our Company, Mr. Casady was managing director, mutual fund group for Deutsche Asset Management, Americas — formerly Scudder Investments. He joined Scudder in 1994 and held roles as managing director — Americas; head of global mutual fund group and head of defined contribution services. He was also a member of the Scudder, Stevens and Clark Board of Directors and Management Committee. He is former chairman and a current board member of the Insured Retirement Institute and Eze Software Group, and serves on FINRA’s board of governors. Mr. Casady received his B.S. from Indiana University and his M.B.A. from DePaul University.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 H. Arnold — Chief Financial Officer</w:t>
      </w:r>
    </w:p>
    <w:p>
      <w:pPr>
        <w:spacing w:after="0" w:line="247" w:lineRule="exact"/>
        <w:rPr>
          <w:sz w:val="20"/>
          <w:szCs w:val="20"/>
          <w:color w:val="auto"/>
        </w:rPr>
      </w:pPr>
    </w:p>
    <w:p>
      <w:pPr>
        <w:ind w:right="380" w:firstLine="486"/>
        <w:spacing w:after="0" w:line="252" w:lineRule="auto"/>
        <w:rPr>
          <w:sz w:val="20"/>
          <w:szCs w:val="20"/>
          <w:color w:val="auto"/>
        </w:rPr>
      </w:pPr>
      <w:r>
        <w:rPr>
          <w:rFonts w:ascii="Arial" w:cs="Arial" w:eastAsia="Arial" w:hAnsi="Arial"/>
          <w:sz w:val="18"/>
          <w:szCs w:val="18"/>
          <w:color w:val="auto"/>
        </w:rPr>
        <w:t>Mr. Arnold serves as chief financial officer for the Company. He is responsible for formulating financial policy, leading the Company's capital management efforts, and ensuring the effectiveness of the organization's financial functions. Before assuming this role in 2012, Mr. Arnold was managing director, head of strategy, with responsibility for developing our long-term strategic plans and assessing the trends prevalent in our industry. He has also served as divisional president of our Institution Services business. Mr. Arnold joined our Company in January 2007 following our acquisition of UVEST. Prior to joining us, Mr. Arnold worked at UVEST for 13 years, serving most recently as president and chief operating officer. Mr. Arnold is a graduate of Auburn University and holds an M.B.A. in finance from Georgia State University.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P. Bergers — Managing Director, Legal and Government Relations, General Counsel</w:t>
      </w:r>
    </w:p>
    <w:p>
      <w:pPr>
        <w:spacing w:after="0" w:line="24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Mr. Bergers is general counsel of LPL Financial Holdings Inc. and managing director of Legal and Government Relations at LPL Financial. Mr. Bergers has more than 20 years of industry experience as a practicing</w:t>
      </w: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576" w:right="299" w:bottom="1440" w:gutter="0" w:footer="0" w:header="0"/>
        </w:sectPr>
      </w:pPr>
    </w:p>
    <w:bookmarkStart w:id="68" w:name="page69"/>
    <w:bookmarkEnd w:id="68"/>
    <w:p>
      <w:pPr>
        <w:ind w:right="20"/>
        <w:spacing w:after="0" w:line="252" w:lineRule="auto"/>
        <w:rPr>
          <w:sz w:val="20"/>
          <w:szCs w:val="20"/>
          <w:color w:val="auto"/>
        </w:rPr>
      </w:pPr>
      <w:r>
        <w:rPr>
          <w:rFonts w:ascii="Arial" w:cs="Arial" w:eastAsia="Arial" w:hAnsi="Arial"/>
          <w:sz w:val="18"/>
          <w:szCs w:val="18"/>
          <w:color w:val="auto"/>
        </w:rPr>
        <w:t>attorney, corporate counsel and government regulator. He joined us in 2013 from the Securities and Exchange Commission, where he served 13 years, most recently as acting deputy director of the enforcement division in Washington, DC. From 2006 to 2013, he served as director of the SEC’s Boston regional office. Previously, Mr. Bergers was vice president and assistant general counsel at Tucker Anthony, an independent investment banking and brokerage firm that was later acquired by Royal Bank of Canada, and counsel to Freedom Capital Management, an affiliated investment adviser. He also was a litigator for several years with law firms in the Boston and Philadelphia areas. Mr. Bergers earned a B.A. in history from Eastern Nazarene College in Massachusetts and a J.D. from Yale Law School.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Mimi Bock — Managing Director, Client Experience and Training</w:t>
      </w:r>
    </w:p>
    <w:p>
      <w:pPr>
        <w:spacing w:after="0" w:line="13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Ms. Bock serves as managing director of Client Experience and Training for the LPL Financial Advisor and Institution Solutions business unit. In this role, she oversees client communications, marketing support services, client insights, conference planning, and client learning and development for independent financial advisors and institutions. Previously, she served as LPL Financial’s executive vice president of Independent Advisor Services business consulting and was responsible for the growth, satisfaction, and retention of advisors. Prior to joining LPL Financial in 2012, Ms. Bock was a managing director in the global wealth management division of Morgan Stanley Smith Barney, where she also served as director for the southeast U.S. region. During her time at Morgan Stanley, Ms. Bock also held a variety of leadership positions in equity sales, financial advisor development, client marketing, and field management. Ms. Bock earned a double B.A. in economics and sociology from Denison University in Ohio.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 P. Fetter — Managing Director, Chief Information Officer</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Managing director and chief information officer since 2012, Mr. Fetter has oversight of the LPL Financial Business Technology Services business unit. He is responsible for executing the company's commitment to investing in the people and processes necessary to deliver the best technologies in the industry for LPL Financial advisors and employees. Prior to joining us in December 2012, Mr. Fetter was vice president and chief information officer for Dell Online, where he led the digital transformation of Dell's approach to providing global, multi-channel solutions for consumers and commercial customers. Earlier, Mr. Fetter worked at Mercer Human Resource Consulting, where he served as director of global applications development, chief information officer, and ultimately global chief information officer during his tenure. He held previous positions at Hewitt Associates LLC and Electronic Data Systems. Mr. Fetter has a B.S. in computer information systems from Spring Hill College in Mobile, 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R. Helliker — Managing Director, Client Support Services</w:t>
      </w:r>
    </w:p>
    <w:p>
      <w:pPr>
        <w:spacing w:after="0" w:line="247" w:lineRule="exact"/>
        <w:rPr>
          <w:sz w:val="20"/>
          <w:szCs w:val="20"/>
          <w:color w:val="auto"/>
        </w:rPr>
      </w:pPr>
    </w:p>
    <w:p>
      <w:pPr>
        <w:ind w:right="160" w:firstLine="486"/>
        <w:spacing w:after="0" w:line="251" w:lineRule="auto"/>
        <w:rPr>
          <w:sz w:val="20"/>
          <w:szCs w:val="20"/>
          <w:color w:val="auto"/>
        </w:rPr>
      </w:pPr>
      <w:r>
        <w:rPr>
          <w:rFonts w:ascii="Arial" w:cs="Arial" w:eastAsia="Arial" w:hAnsi="Arial"/>
          <w:sz w:val="18"/>
          <w:szCs w:val="18"/>
          <w:color w:val="auto"/>
        </w:rPr>
        <w:t>Mr. Helliker has served as managing director of Client Support Services for LPL Financial since September 2013. Mr. Helliker oversees the Company’s service and client-facing operations organizations on behalf the company’s Independent Advisor Services and Institution Services business units. In this role, he is responsible for driving innovation and ensuring the delivery of extraordinary service and support to financial advisors, banks, and credit unions. Mr. Helliker joined us in July 2008 as managing director of Broker/Dealer Support Services, responsible for enhancing the customer experience by overseeing the day-to-day management of customer-side operations and new-advisor transitions. From June 2012 to September 2013, he served as managing director of Clearing and Compliance Services, responsible for both Broker/Dealer Support Services and the Governance, Risk, &amp; Compliance business unit, for which he oversaw enterprise-wide risk management processes. Prior to joining us, Mr. Helliker worked at Charles Schwab for 10 years, most recently as senior vice president of Charles Schwab Institutional. Mr. Helliker has a B.A. in political science from the University of Portsmouth in England and an M.B.A. in management from San Diego State University.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Andrew Kalbaugh — Managing Director, Institution Services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Mr. Kalbaugh has served as our managing director of Institution Services since 2012. He is responsible for the growth, satisfaction, and retention of financial institutions; attracting new financial institutions to the Company; and helping banks and credit unions add new advisors to their programs. Previously, Mr. Kalbaugh served as executive vice president, business consulting, for Independent Advisor Services. Prior to joining us in 2007, he was president, CEO, and chairman of American General Securities Incorporated and served as director of the AIG Advisor Group. Earlier, he was vice president and chief marketing officer for American General Securities Incorporated. Previous positions include eastern regional director of sales for The Advisors Group and senior trader for Calvert Securities Corporation. Mr. Kalbaugh is a Certified Financial Planner and has a B.A. in business and economics from the University of Maryland.</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706"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Sallie R. Larsen — Managing Director, Chief Human Capital Officer</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Ms. Larsen has served as our managing director, chief human capital officer since 2012. She is responsible for overseeing Compensation &amp; Benefits, Corporate Communication, Corporate Real Estate, Human Resources Operations, Human Resources Client Consulting, and Talent Development. Ms. Larsen joined us in 2012 from the Federal Home Loan Bank/Office of Finance, where she was the chief human resources officer. In earlier roles, Ms. Larsen was a managing vice president of human resources for Capital One Financial Corporation, senior vice president of human resources for Marriott International, and vice president of human resources and communications for TRW Inc. Ms. Larsen earned a M.A. in communications from Purdue University, a B.A. in sociology from California Lutheran University, and a certificate in executive leadership coaching from Georgetown University.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J. Moore — President</w:t>
      </w:r>
    </w:p>
    <w:p>
      <w:pPr>
        <w:spacing w:after="0" w:line="139"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Mr. Moore has served as president of LPL Financial since May 2012. He joined us in 2008 as our chief financial officer until his appointment as president and chief operating officer in May 2012. The title of chief operating officer was subsequently determined to be unnecessary to reflect Mr. Moore's role and responsibilities associated with his May 2012 appointment, and his title was subsequently changed to president. In this role, Mr. Moore oversees the Company’s primary client-facing functions, including Advisor and Institution Solutions, which delivers services that support client growth, and Client Support Services, which consists of the company’s client service and operations teams. Prior to joining LPL Financial, from 2006 to 2008, Mr. Moore served as chief executive officer and chief financial officer at ABN AMRO North America and LaSalle Bank Corporation. Before those roles, Mr. Moore worked for Diageo PLC, Europe and Great Britain, in a number of finance management positions, ultimately serving as chief financial officer. Mr. Moore is the chairman of the Insured Retirement Institute (IRI) board of directors, a member of the board of the Securities Industry and Financial Markets Association (SIFMA), a member of the board of the Financial Services Institute, and a member of the Financial Services Roundtable. He is also on the University of Texas at Austin Development Board and is an independent director of Legal &amp; General Investment Management America Co. Mr. Moore has a B.B.A. in finance from the University of Texas, Austin and a M.M. in finance, marketing and international business from Northwestern University and is a Chartered Financial Analyst (CFA).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P. Morrissey, Jr. — Managing Director, Independent Advisor Services</w:t>
      </w:r>
    </w:p>
    <w:p>
      <w:pPr>
        <w:spacing w:after="0" w:line="139"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Mr. Morrissey is managing director of Independent Advisor Services for the LPL Financial Advisor and Institution Solutions business unit. In this role, he has responsibility for business development and business consulting for all independent advisors and registered investment advisors and is focused on driving client satisfaction, supporting practice development, providing acquisition and succession planning expertise, and delivering best-in class retirement support services. Previously, Mr. Morrissey served as LPL Financial’s executive vice president of business development, responsible for recruiting new advisors and their practices. He joined the Company in 2004 as senior vice president of Advisory Consulting Services, responsible for overseeing and successfully building the sales, marketing and development of LPL's advisory platforms. Prior to joining LPL Financial, Mr. Morrissey worked at Fidelity Investments for 17 years, most recently as senior vice president of institutional services. Earlier, Mr. Morrissey served as senior vice president at Merrill Lynch. He received a B.A. in political science from Boston College.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Michelle Oroschakoff — Managing Director, Chief Risk Officer</w:t>
      </w:r>
    </w:p>
    <w:p>
      <w:pPr>
        <w:spacing w:after="0" w:line="247"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Ms. Oroschakoff is managing director, chief risk officer for LPL Financial and vice chairman of the Risk Oversight Committee. Ms. Oroschakoff has more than 20 years of financial services industry experience deeply rooted in legal, compliance and risk management. She joined us in 2013 from Morgan Stanley, where she most recently served as managing director and global chief risk officer of the firm’s Wealth Management Group, as well as chief compliance officer for Morgan Stanley Smith Barney. Earlier in her career at Morgan Stanley, Ms. Oroschakoff spent 11 years in a variety of legal and compliance roles, including associate general counsel and head of the firm’s San Francisco litigation department. She also served as the general counsel for a large and successful RIA firm, where she became familiar with the independent model. Ms. Oroschakoff earned a J.D. from the University of Michigan and a B.A. in English literature from the University of Oregon.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Ryan Parker — Managing Director, Investment and Planning Solutions</w:t>
      </w:r>
    </w:p>
    <w:p>
      <w:pPr>
        <w:spacing w:after="0" w:line="13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Mr. Parker is managing director, Investment and Planning Solutions for the LPL Financial Advisor and Institution Solutions business unit. He leads distribution strategy for the Advisory, Brokerage, Insurance and Financial Planning businesses, helping advisors and institutions navigate an increasingly complex landscape of</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738" w:right="259" w:bottom="1440" w:gutter="0" w:footer="0" w:header="0"/>
        </w:sectPr>
      </w:pPr>
    </w:p>
    <w:bookmarkStart w:id="70" w:name="page71"/>
    <w:bookmarkEnd w:id="70"/>
    <w:p>
      <w:pPr>
        <w:spacing w:after="0" w:line="252" w:lineRule="auto"/>
        <w:rPr>
          <w:sz w:val="20"/>
          <w:szCs w:val="20"/>
          <w:color w:val="auto"/>
        </w:rPr>
      </w:pPr>
      <w:r>
        <w:rPr>
          <w:rFonts w:ascii="Arial" w:cs="Arial" w:eastAsia="Arial" w:hAnsi="Arial"/>
          <w:sz w:val="18"/>
          <w:szCs w:val="18"/>
          <w:color w:val="auto"/>
        </w:rPr>
        <w:t>platforms, products, services, and tools. Prior to his promotion to managing director in June 2014, Mr. Parker served as LPL Financial’s executive vice president, Investment and Planning Solutions. Prior to joining LPL Financial in 2013, he was managing director, National Accounts and Business Development at Russell Investments, the global asset manager. At Russell Investments, he served in a range of senior leadership roles in the U.S. advisor market, spanning the sales, marketing, and product functions. Earlier in his career, he worked for Franklin Templeton and Putnam Investments. He earned a B.A. in political science from the University of Michigan at Ann Arbor and studied finance and accounting at Stanford Graduate School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George B. White — Managing Director, Research and Chief Investment Officer</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Mr. White has served as our managing director, research and chief investment officer since 2007. He is responsible for the strategic direction and continued growth of the LPL Financial research platform. His role includes setting the vision for superior research capabilities and enabling the delivery of conflict-free, objective investment advice by LPL Financial advisors. Prior to joining us in 2007, Mr. White served as a managing director and director of research for Wachovia Securities for 10 years. Mr. White also was an investment analyst for Mercer Investment Consulting, where he provided investment advice to institutional clients. He started his financial services career on the buy side of the business as a research analyst for Thompson, Siegel, and Walmsley, a value-oriented asset manager. Mr. White received a B.B.A. from the College of William and Mary.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11, 12, 13, and 14.</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by Items 11, 12, 13, and 14 is incorporated by reference from the Company’s definitive proxy statement for the</w:t>
      </w:r>
    </w:p>
    <w:p>
      <w:pPr>
        <w:spacing w:after="0" w:line="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2015 Annual Meeting of Stockholders, which the Company intends to file with the SEC within 120 days of the end of the fiscal year end to which this report relates.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598" w:right="2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Consolidated Financial Statements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consolidated financial statements appearing on pages F-1 through F-35 are incorporated herein by reference.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 Exhibits</w:t>
            </w:r>
          </w:p>
        </w:tc>
        <w:tc>
          <w:tcPr>
            <w:tcW w:w="4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ind w:left="4200"/>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58"/>
        </w:trPr>
        <w:tc>
          <w:tcPr>
            <w:tcW w:w="2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Amended and Restated Certificate of Incorporation of LPL Investment Holdings Inc., dated November 23, 2010. (1)</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1"/>
                <w:szCs w:val="21"/>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Certificate of Ownership and Merger Merging LPL Financial Holdings Inc. with and into LPL Investment Holdings Inc., dated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June 14, 2012. (2)</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1"/>
                <w:szCs w:val="21"/>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Certificate of Amendment to the Amended and Restated Certificate of Incorporation of LPL Financial Holdings Inc., dated</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May 8, 2014. (3)</w:t>
            </w:r>
          </w:p>
        </w:tc>
      </w:tr>
      <w:tr>
        <w:trPr>
          <w:trHeight w:val="257"/>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Fifth Amended and Restated Bylaws of LPL Financial Holdings Inc. (4)</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Stockholders’ Agreement, dated as of December 28, 2005, among LPL Investment Holdings Inc., LPL Holdings, Inc.</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and other stockholders party thereto. (5)</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9"/>
              </w:rPr>
              <w:t>First Amendment to Stockholders’ Agreement dated December 28, 2005, among LPL Investment Holdings Inc., LPL Holdings,</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Inc. and other stockholders party thereto, dated November 23, 2010. (6)</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w w:val="98"/>
              </w:rPr>
              <w:t>Stockholders’ Agreement among the Company and Hellman &amp; Friedman Capital Partners V, L.P., Hellman &amp; Friedman Capital</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Partners V (Parallel), L.P., Hellman &amp; Friedman Capital Associates V, L.P., TPG Partners IV, L.P. and other parties thereto,</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dated November 23, 2010. (7)</w:t>
            </w:r>
          </w:p>
        </w:tc>
      </w:tr>
      <w:tr>
        <w:trPr>
          <w:trHeight w:val="242"/>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1"/>
                <w:szCs w:val="21"/>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First Amendment to Stockholders’ Agreement, entered into as of September 24, 2014, by and between LPL Financial</w:t>
            </w:r>
          </w:p>
        </w:tc>
      </w:tr>
      <w:tr>
        <w:trPr>
          <w:trHeight w:val="203"/>
        </w:trPr>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Holdings Inc., a Delaware corporation (f/k/a LPL Investment Holdings Inc., “LPL”), and TPG Partners IV, L.P., a Delaware</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limited partnership (“TPG”). (8)</w:t>
            </w:r>
          </w:p>
        </w:tc>
      </w:tr>
      <w:tr>
        <w:trPr>
          <w:trHeight w:val="270"/>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3"/>
                <w:szCs w:val="23"/>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Fifth Amended and Restated LPL Investment Holdings Inc. 2000 Stock Bonus Plan. (9)</w:t>
            </w:r>
          </w:p>
        </w:tc>
      </w:tr>
      <w:tr>
        <w:trPr>
          <w:trHeight w:val="256"/>
        </w:trPr>
        <w:tc>
          <w:tcPr>
            <w:tcW w:w="1160" w:type="dxa"/>
            <w:vAlign w:val="bottom"/>
            <w:gridSpan w:val="2"/>
          </w:tcPr>
          <w:p>
            <w:pPr>
              <w:jc w:val="center"/>
              <w:ind w:left="15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Amended and Restated Executive Employment Agreement among William E. Dwyer III, LPL Investment Holdings Inc., LPL</w:t>
            </w:r>
          </w:p>
        </w:tc>
      </w:tr>
      <w:tr>
        <w:trPr>
          <w:trHeight w:val="217"/>
        </w:trPr>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3"/>
          </w:tcPr>
          <w:p>
            <w:pPr>
              <w:ind w:left="140"/>
              <w:spacing w:after="0"/>
              <w:rPr>
                <w:sz w:val="20"/>
                <w:szCs w:val="20"/>
                <w:color w:val="auto"/>
              </w:rPr>
            </w:pPr>
            <w:r>
              <w:rPr>
                <w:rFonts w:ascii="Arial" w:cs="Arial" w:eastAsia="Arial" w:hAnsi="Arial"/>
                <w:sz w:val="18"/>
                <w:szCs w:val="18"/>
                <w:color w:val="auto"/>
              </w:rPr>
              <w:t>Holdings, Inc. and LPL Financial Corporation, dated July 23, 2010. (10)</w:t>
            </w:r>
          </w:p>
        </w:tc>
      </w:tr>
    </w:tbl>
    <w:p>
      <w:pPr>
        <w:spacing w:after="0" w:line="40" w:lineRule="exact"/>
        <w:rPr>
          <w:sz w:val="20"/>
          <w:szCs w:val="20"/>
          <w:color w:val="auto"/>
        </w:rPr>
      </w:pPr>
    </w:p>
    <w:p>
      <w:pPr>
        <w:sectPr>
          <w:pgSz w:w="11900" w:h="16838" w:orient="portrait"/>
          <w:cols w:equalWidth="0" w:num="1">
            <w:col w:w="11380"/>
          </w:cols>
          <w:pgMar w:left="240" w:top="576" w:right="279" w:bottom="1440" w:gutter="0" w:footer="0" w:header="0"/>
        </w:sectPr>
      </w:pPr>
    </w:p>
    <w:p>
      <w:pPr>
        <w:ind w:left="520"/>
        <w:spacing w:after="0"/>
        <w:rPr>
          <w:sz w:val="20"/>
          <w:szCs w:val="20"/>
          <w:color w:val="auto"/>
        </w:rPr>
      </w:pPr>
      <w:r>
        <w:rPr>
          <w:rFonts w:ascii="Arial" w:cs="Arial" w:eastAsia="Arial" w:hAnsi="Arial"/>
          <w:sz w:val="18"/>
          <w:szCs w:val="18"/>
          <w:color w:val="auto"/>
        </w:rPr>
        <w:t>10.2</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10.3</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10.5</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10.6</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Revised Separation Agreement and General Release with William E. Dwyer, dated March 14, 2014. (11)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Separation Agreement and General Release with Derek Bruton, dated April 3, 2014. (12)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Indemnification Agreement.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2005 LPL Investment Holdings Inc. Stock Option Plan for Incentive Stock Options.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2005 LPL Investment Holdings Inc. Stock Option Plan for Non-Qualified Stock Options.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2008 Stock Option Plan. (14)</w:t>
      </w:r>
    </w:p>
    <w:p>
      <w:pPr>
        <w:spacing w:after="0" w:line="50" w:lineRule="exact"/>
        <w:rPr>
          <w:sz w:val="20"/>
          <w:szCs w:val="20"/>
          <w:color w:val="auto"/>
        </w:rPr>
      </w:pPr>
    </w:p>
    <w:p>
      <w:pPr>
        <w:sectPr>
          <w:pgSz w:w="11900" w:h="16838" w:orient="portrait"/>
          <w:cols w:equalWidth="0" w:num="2">
            <w:col w:w="880" w:space="540"/>
            <w:col w:w="9960"/>
          </w:cols>
          <w:pgMar w:left="240" w:top="576" w:right="279" w:bottom="1440" w:gutter="0" w:footer="0" w:header="0"/>
          <w:type w:val="continuous"/>
        </w:sectPr>
      </w:pPr>
    </w:p>
    <w:tbl>
      <w:tblPr>
        <w:tblLayout w:type="fixed"/>
        <w:tblInd w:w="480" w:type="dxa"/>
        <w:tblCellMar>
          <w:top w:w="0" w:type="dxa"/>
          <w:left w:w="0" w:type="dxa"/>
          <w:bottom w:w="0" w:type="dxa"/>
          <w:right w:w="0" w:type="dxa"/>
        </w:tblCellMar>
      </w:tblPr>
      <w:tr>
        <w:trPr>
          <w:trHeight w:val="216"/>
        </w:trPr>
        <w:tc>
          <w:tcPr>
            <w:tcW w:w="680" w:type="dxa"/>
            <w:vAlign w:val="bottom"/>
          </w:tcPr>
          <w:p>
            <w:pPr>
              <w:jc w:val="center"/>
              <w:ind w:right="150"/>
              <w:spacing w:after="0"/>
              <w:rPr>
                <w:sz w:val="20"/>
                <w:szCs w:val="20"/>
                <w:color w:val="auto"/>
              </w:rPr>
            </w:pPr>
            <w:r>
              <w:rPr>
                <w:rFonts w:ascii="Arial" w:cs="Arial" w:eastAsia="Arial" w:hAnsi="Arial"/>
                <w:sz w:val="18"/>
                <w:szCs w:val="18"/>
                <w:color w:val="auto"/>
              </w:rPr>
              <w:t>10.8</w:t>
            </w:r>
          </w:p>
        </w:tc>
        <w:tc>
          <w:tcPr>
            <w:tcW w:w="10120" w:type="dxa"/>
            <w:vAlign w:val="bottom"/>
          </w:tcPr>
          <w:p>
            <w:pPr>
              <w:ind w:left="260"/>
              <w:spacing w:after="0"/>
              <w:rPr>
                <w:sz w:val="20"/>
                <w:szCs w:val="20"/>
                <w:color w:val="auto"/>
              </w:rPr>
            </w:pPr>
            <w:r>
              <w:rPr>
                <w:rFonts w:ascii="Arial" w:cs="Arial" w:eastAsia="Arial" w:hAnsi="Arial"/>
                <w:sz w:val="18"/>
                <w:szCs w:val="18"/>
                <w:color w:val="auto"/>
              </w:rPr>
              <w:t>Form of LPL Investment Holdings Inc. Stock Option Agreement granted under the LPL Investment Holdings Inc. 2008 Stock</w:t>
            </w:r>
          </w:p>
        </w:tc>
      </w:tr>
      <w:tr>
        <w:trPr>
          <w:trHeight w:val="217"/>
        </w:trPr>
        <w:tc>
          <w:tcPr>
            <w:tcW w:w="680" w:type="dxa"/>
            <w:vAlign w:val="bottom"/>
          </w:tcPr>
          <w:p>
            <w:pPr>
              <w:spacing w:after="0"/>
              <w:rPr>
                <w:sz w:val="18"/>
                <w:szCs w:val="18"/>
                <w:color w:val="auto"/>
              </w:rPr>
            </w:pPr>
          </w:p>
        </w:tc>
        <w:tc>
          <w:tcPr>
            <w:tcW w:w="10120" w:type="dxa"/>
            <w:vAlign w:val="bottom"/>
          </w:tcPr>
          <w:p>
            <w:pPr>
              <w:ind w:left="260"/>
              <w:spacing w:after="0"/>
              <w:rPr>
                <w:sz w:val="20"/>
                <w:szCs w:val="20"/>
                <w:color w:val="auto"/>
              </w:rPr>
            </w:pPr>
            <w:r>
              <w:rPr>
                <w:rFonts w:ascii="Arial" w:cs="Arial" w:eastAsia="Arial" w:hAnsi="Arial"/>
                <w:sz w:val="18"/>
                <w:szCs w:val="18"/>
                <w:color w:val="auto"/>
              </w:rPr>
              <w:t>Option Plan. (15)</w:t>
            </w:r>
          </w:p>
        </w:tc>
      </w:tr>
      <w:tr>
        <w:trPr>
          <w:trHeight w:val="270"/>
        </w:trPr>
        <w:tc>
          <w:tcPr>
            <w:tcW w:w="680" w:type="dxa"/>
            <w:vAlign w:val="bottom"/>
          </w:tcPr>
          <w:p>
            <w:pPr>
              <w:jc w:val="center"/>
              <w:ind w:right="150"/>
              <w:spacing w:after="0"/>
              <w:rPr>
                <w:sz w:val="20"/>
                <w:szCs w:val="20"/>
                <w:color w:val="auto"/>
              </w:rPr>
            </w:pPr>
            <w:r>
              <w:rPr>
                <w:rFonts w:ascii="Arial" w:cs="Arial" w:eastAsia="Arial" w:hAnsi="Arial"/>
                <w:sz w:val="18"/>
                <w:szCs w:val="18"/>
                <w:color w:val="auto"/>
              </w:rPr>
              <w:t>10.9</w:t>
            </w:r>
          </w:p>
        </w:tc>
        <w:tc>
          <w:tcPr>
            <w:tcW w:w="10120" w:type="dxa"/>
            <w:vAlign w:val="bottom"/>
          </w:tcPr>
          <w:p>
            <w:pPr>
              <w:ind w:left="260"/>
              <w:spacing w:after="0"/>
              <w:rPr>
                <w:sz w:val="20"/>
                <w:szCs w:val="20"/>
                <w:color w:val="auto"/>
              </w:rPr>
            </w:pPr>
            <w:r>
              <w:rPr>
                <w:rFonts w:ascii="Arial" w:cs="Arial" w:eastAsia="Arial" w:hAnsi="Arial"/>
                <w:sz w:val="18"/>
                <w:szCs w:val="18"/>
                <w:color w:val="auto"/>
              </w:rPr>
              <w:t>LPL Investment Holdings Inc. 2008 Nonqualified Deferred Compensation Plan. (16)</w:t>
            </w:r>
          </w:p>
        </w:tc>
      </w:tr>
      <w:tr>
        <w:trPr>
          <w:trHeight w:val="242"/>
        </w:trPr>
        <w:tc>
          <w:tcPr>
            <w:tcW w:w="680" w:type="dxa"/>
            <w:vAlign w:val="bottom"/>
          </w:tcPr>
          <w:p>
            <w:pPr>
              <w:jc w:val="center"/>
              <w:ind w:right="150"/>
              <w:spacing w:after="0"/>
              <w:rPr>
                <w:sz w:val="20"/>
                <w:szCs w:val="20"/>
                <w:color w:val="auto"/>
              </w:rPr>
            </w:pPr>
            <w:r>
              <w:rPr>
                <w:rFonts w:ascii="Arial" w:cs="Arial" w:eastAsia="Arial" w:hAnsi="Arial"/>
                <w:sz w:val="18"/>
                <w:szCs w:val="18"/>
                <w:color w:val="auto"/>
                <w:w w:val="97"/>
              </w:rPr>
              <w:t>10.10</w:t>
            </w:r>
          </w:p>
        </w:tc>
        <w:tc>
          <w:tcPr>
            <w:tcW w:w="10120" w:type="dxa"/>
            <w:vAlign w:val="bottom"/>
          </w:tcPr>
          <w:p>
            <w:pPr>
              <w:ind w:left="260"/>
              <w:spacing w:after="0"/>
              <w:rPr>
                <w:sz w:val="20"/>
                <w:szCs w:val="20"/>
                <w:color w:val="auto"/>
              </w:rPr>
            </w:pPr>
            <w:r>
              <w:rPr>
                <w:rFonts w:ascii="Arial" w:cs="Arial" w:eastAsia="Arial" w:hAnsi="Arial"/>
                <w:sz w:val="18"/>
                <w:szCs w:val="18"/>
                <w:color w:val="auto"/>
                <w:w w:val="99"/>
              </w:rPr>
              <w:t>Amendment to the LPL Investment Holdings Inc. 2008 Nonqualified Deferred Compensation Plan, dated December 1, 2011.</w:t>
            </w:r>
          </w:p>
        </w:tc>
      </w:tr>
      <w:tr>
        <w:trPr>
          <w:trHeight w:val="217"/>
        </w:trPr>
        <w:tc>
          <w:tcPr>
            <w:tcW w:w="680" w:type="dxa"/>
            <w:vAlign w:val="bottom"/>
          </w:tcPr>
          <w:p>
            <w:pPr>
              <w:spacing w:after="0"/>
              <w:rPr>
                <w:sz w:val="18"/>
                <w:szCs w:val="18"/>
                <w:color w:val="auto"/>
              </w:rPr>
            </w:pPr>
          </w:p>
        </w:tc>
        <w:tc>
          <w:tcPr>
            <w:tcW w:w="10120" w:type="dxa"/>
            <w:vAlign w:val="bottom"/>
          </w:tcPr>
          <w:p>
            <w:pPr>
              <w:ind w:left="260"/>
              <w:spacing w:after="0"/>
              <w:rPr>
                <w:sz w:val="20"/>
                <w:szCs w:val="20"/>
                <w:color w:val="auto"/>
              </w:rPr>
            </w:pPr>
            <w:r>
              <w:rPr>
                <w:rFonts w:ascii="Arial" w:cs="Arial" w:eastAsia="Arial" w:hAnsi="Arial"/>
                <w:sz w:val="18"/>
                <w:szCs w:val="18"/>
                <w:color w:val="auto"/>
              </w:rPr>
              <w:t>(7)</w:t>
            </w:r>
          </w:p>
        </w:tc>
      </w:tr>
    </w:tbl>
    <w:p>
      <w:pPr>
        <w:spacing w:after="0" w:line="40" w:lineRule="exact"/>
        <w:rPr>
          <w:sz w:val="20"/>
          <w:szCs w:val="20"/>
          <w:color w:val="auto"/>
        </w:rPr>
      </w:pPr>
    </w:p>
    <w:p>
      <w:pPr>
        <w:sectPr>
          <w:pgSz w:w="11900" w:h="16838" w:orient="portrait"/>
          <w:cols w:equalWidth="0" w:num="1">
            <w:col w:w="11380"/>
          </w:cols>
          <w:pgMar w:left="240" w:top="576" w:right="279" w:bottom="1440" w:gutter="0" w:footer="0" w:header="0"/>
          <w:type w:val="continuous"/>
        </w:sectPr>
      </w:pPr>
    </w:p>
    <w:p>
      <w:pPr>
        <w:ind w:left="480"/>
        <w:spacing w:after="0"/>
        <w:rPr>
          <w:sz w:val="20"/>
          <w:szCs w:val="20"/>
          <w:color w:val="auto"/>
        </w:rPr>
      </w:pPr>
      <w:r>
        <w:rPr>
          <w:rFonts w:ascii="Arial" w:cs="Arial" w:eastAsia="Arial" w:hAnsi="Arial"/>
          <w:sz w:val="17"/>
          <w:szCs w:val="17"/>
          <w:color w:val="auto"/>
        </w:rPr>
        <w:t>10.11</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10.12</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LPL Investment Holdings Inc. Advisor Incentive Plan. (17)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LPL Investment Holdings Inc. Financial Institution Incentive Plan. (14)</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LPL Investment Holdings Inc. 2010 Omnibus Equity Incentive Plan. (18)</w:t>
      </w:r>
    </w:p>
    <w:p>
      <w:pPr>
        <w:spacing w:after="0" w:line="61" w:lineRule="exact"/>
        <w:rPr>
          <w:sz w:val="20"/>
          <w:szCs w:val="20"/>
          <w:color w:val="auto"/>
        </w:rPr>
      </w:pPr>
    </w:p>
    <w:p>
      <w:pPr>
        <w:sectPr>
          <w:pgSz w:w="11900" w:h="16838" w:orient="portrait"/>
          <w:cols w:equalWidth="0" w:num="2">
            <w:col w:w="920" w:space="500"/>
            <w:col w:w="9960"/>
          </w:cols>
          <w:pgMar w:left="240" w:top="576" w:right="279" w:bottom="1440" w:gutter="0" w:footer="0" w:header="0"/>
          <w:type w:val="continuous"/>
        </w:sectPr>
      </w:pPr>
    </w:p>
    <w:p>
      <w:pPr>
        <w:ind w:left="1420" w:right="1260" w:hanging="940"/>
        <w:spacing w:after="0" w:line="246" w:lineRule="auto"/>
        <w:tabs>
          <w:tab w:leader="none" w:pos="14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Senior Executive Stock Option Award granted under the LPL Investment Holdings Inc. 2010 Omnibus Equity Incentive Plan. (19)</w:t>
      </w:r>
    </w:p>
    <w:p>
      <w:pPr>
        <w:spacing w:after="0" w:line="48" w:lineRule="exact"/>
        <w:rPr>
          <w:sz w:val="20"/>
          <w:szCs w:val="20"/>
          <w:color w:val="auto"/>
        </w:rPr>
      </w:pPr>
    </w:p>
    <w:p>
      <w:pPr>
        <w:ind w:left="1420" w:right="1000" w:hanging="940"/>
        <w:spacing w:after="0" w:line="246" w:lineRule="auto"/>
        <w:tabs>
          <w:tab w:leader="none" w:pos="14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Senior Management Stock Option Award granted under the LPL Investment Holdings Inc. 2010 Omnibus Equity Incentive Plan. (19)</w:t>
      </w:r>
    </w:p>
    <w:p>
      <w:pPr>
        <w:spacing w:after="0" w:line="48" w:lineRule="exact"/>
        <w:rPr>
          <w:sz w:val="20"/>
          <w:szCs w:val="20"/>
          <w:color w:val="auto"/>
        </w:rPr>
      </w:pPr>
    </w:p>
    <w:p>
      <w:pPr>
        <w:ind w:left="1420" w:right="20" w:hanging="940"/>
        <w:spacing w:after="0" w:line="246" w:lineRule="auto"/>
        <w:tabs>
          <w:tab w:leader="none" w:pos="14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Senior Executive Restricted Stock Unit Award granted under the LPL Investment Holdings Inc. 2010 Omnibus Equity Incentive Plan. (19)</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576" w:right="279" w:bottom="1440" w:gutter="0" w:footer="0" w:header="0"/>
          <w:type w:val="continuous"/>
        </w:sectPr>
      </w:pPr>
    </w:p>
    <w:bookmarkStart w:id="72" w:name="page73"/>
    <w:bookmarkEnd w:id="72"/>
    <w:p>
      <w:pPr>
        <w:ind w:left="220"/>
        <w:spacing w:after="0"/>
        <w:tabs>
          <w:tab w:leader="none" w:pos="54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 of Exhibit</w:t>
      </w:r>
    </w:p>
    <w:p>
      <w:pPr>
        <w:spacing w:after="0" w:line="99" w:lineRule="exact"/>
        <w:rPr>
          <w:sz w:val="20"/>
          <w:szCs w:val="20"/>
          <w:color w:val="auto"/>
        </w:rPr>
      </w:pPr>
    </w:p>
    <w:p>
      <w:pPr>
        <w:ind w:left="1420" w:right="280" w:hanging="940"/>
        <w:spacing w:after="0" w:line="246" w:lineRule="auto"/>
        <w:tabs>
          <w:tab w:leader="none" w:pos="14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Senior Management Restricted Stock Unit Award granted under the LPL Investment Holdings Inc. 2010 Omnibus Equity Incentive Plan. (19)</w:t>
      </w:r>
    </w:p>
    <w:p>
      <w:pPr>
        <w:spacing w:after="0" w:line="35"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7"/>
          <w:szCs w:val="17"/>
          <w:color w:val="auto"/>
        </w:rPr>
        <w:t>LPL Investment Holdings Inc. and Affiliates Corporate Executive Bonus Plan. (20)</w:t>
      </w:r>
    </w:p>
    <w:p>
      <w:pPr>
        <w:spacing w:after="0" w:line="63" w:lineRule="exact"/>
        <w:rPr>
          <w:sz w:val="20"/>
          <w:szCs w:val="20"/>
          <w:color w:val="auto"/>
        </w:rPr>
      </w:pPr>
    </w:p>
    <w:p>
      <w:pPr>
        <w:ind w:left="1420" w:right="160" w:hanging="940"/>
        <w:spacing w:after="0" w:line="246" w:lineRule="auto"/>
        <w:tabs>
          <w:tab w:leader="none" w:pos="14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Employee Non-Qualified Stock Option Award granted under the LPL Financial Holdings Inc., 2010 Omnibus Equity Incentive Plan. (21)</w:t>
      </w:r>
    </w:p>
    <w:p>
      <w:pPr>
        <w:spacing w:after="0" w:line="48" w:lineRule="exact"/>
        <w:rPr>
          <w:sz w:val="20"/>
          <w:szCs w:val="20"/>
          <w:color w:val="auto"/>
        </w:rPr>
      </w:pPr>
    </w:p>
    <w:p>
      <w:pPr>
        <w:ind w:left="1420" w:right="660" w:hanging="940"/>
        <w:spacing w:after="0" w:line="246" w:lineRule="auto"/>
        <w:tabs>
          <w:tab w:leader="none" w:pos="14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Employee Restricted Stock Unit Award granted under the LPL Financial Holdings Inc., 2010 Omnibus Equity Incentive Plan. (21)</w:t>
      </w:r>
    </w:p>
    <w:p>
      <w:pPr>
        <w:spacing w:after="0" w:line="48" w:lineRule="exact"/>
        <w:rPr>
          <w:sz w:val="20"/>
          <w:szCs w:val="20"/>
          <w:color w:val="auto"/>
        </w:rPr>
      </w:pPr>
    </w:p>
    <w:p>
      <w:pPr>
        <w:jc w:val="both"/>
        <w:ind w:left="1420" w:right="100" w:hanging="940"/>
        <w:spacing w:after="0" w:line="246" w:lineRule="auto"/>
        <w:tabs>
          <w:tab w:leader="none" w:pos="14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Form of Advisor Restricted Stock Unit Award granted under the LPL Financial Holdings Inc., 2010 Omnibus Equity Incentive Plan. (21)</w:t>
      </w:r>
    </w:p>
    <w:p>
      <w:pPr>
        <w:spacing w:after="0" w:line="48" w:lineRule="exact"/>
        <w:rPr>
          <w:sz w:val="20"/>
          <w:szCs w:val="20"/>
          <w:color w:val="auto"/>
        </w:rPr>
      </w:pPr>
    </w:p>
    <w:p>
      <w:pPr>
        <w:ind w:left="1420" w:right="480" w:hanging="940"/>
        <w:spacing w:after="0" w:line="246" w:lineRule="auto"/>
        <w:tabs>
          <w:tab w:leader="none" w:pos="14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Financial Institution Restricted Stock Unit Award granted under the LPL Financial Holdings Inc., 2010 Omnibus Equity Incentive Plan. (21)</w:t>
      </w:r>
    </w:p>
    <w:p>
      <w:pPr>
        <w:spacing w:after="0" w:line="48"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LPL Financial LLC Executive Severance Plan, amended and restated as of February 24, 2014. (21)</w:t>
      </w:r>
    </w:p>
    <w:p>
      <w:pPr>
        <w:spacing w:after="0" w:line="63" w:lineRule="exact"/>
        <w:rPr>
          <w:sz w:val="20"/>
          <w:szCs w:val="20"/>
          <w:color w:val="auto"/>
        </w:rPr>
      </w:pPr>
    </w:p>
    <w:p>
      <w:pPr>
        <w:ind w:left="1420" w:right="520" w:hanging="940"/>
        <w:spacing w:after="0" w:line="246" w:lineRule="auto"/>
        <w:tabs>
          <w:tab w:leader="none" w:pos="14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Supplemental Restricted Stock Unit Award granted under the 2010 LPL Financial Holdings Inc. 2010 Omnibus Equity Incentive Plan. (21)</w:t>
      </w:r>
    </w:p>
    <w:p>
      <w:pPr>
        <w:spacing w:after="0" w:line="35"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LPL Financial Holdings Inc. Non-Employee Director Compensation Policy. (22)</w:t>
      </w:r>
    </w:p>
    <w:p>
      <w:pPr>
        <w:spacing w:after="0" w:line="63" w:lineRule="exact"/>
        <w:rPr>
          <w:sz w:val="20"/>
          <w:szCs w:val="20"/>
          <w:color w:val="auto"/>
        </w:rPr>
      </w:pPr>
    </w:p>
    <w:p>
      <w:pPr>
        <w:jc w:val="both"/>
        <w:ind w:left="1420" w:right="80" w:hanging="940"/>
        <w:spacing w:after="0"/>
        <w:tabs>
          <w:tab w:leader="none" w:pos="14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Credit Agreement, dated as of March 29, 2012, by and among LPL Investment Holdings, Inc., LPL Holdings, Inc., the several lenders from time to time party thereto, and Bank of America, N.A. as Administrative Agent Collateral Agent, Letter of Credit Issuer and Swingline Lender. (23)</w:t>
      </w:r>
    </w:p>
    <w:p>
      <w:pPr>
        <w:spacing w:after="0" w:line="54" w:lineRule="exact"/>
        <w:rPr>
          <w:sz w:val="20"/>
          <w:szCs w:val="20"/>
          <w:color w:val="auto"/>
        </w:rPr>
      </w:pPr>
    </w:p>
    <w:p>
      <w:pPr>
        <w:ind w:left="1420" w:hanging="940"/>
        <w:spacing w:after="0"/>
        <w:tabs>
          <w:tab w:leader="none" w:pos="14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First Amendment and Incremental Assumption Agreement, dated as of May 13, 2013, by and among LPL Financial Holdings, Inc., LPL Holdings, Inc., certain subsidiaries, the several lenders from time to time party thereto, and Bank of America, N.A. as Administrative Agent. (24)</w:t>
      </w:r>
    </w:p>
    <w:p>
      <w:pPr>
        <w:spacing w:after="0" w:line="54" w:lineRule="exact"/>
        <w:rPr>
          <w:sz w:val="20"/>
          <w:szCs w:val="20"/>
          <w:color w:val="auto"/>
        </w:rPr>
      </w:pPr>
    </w:p>
    <w:p>
      <w:pPr>
        <w:ind w:left="1420" w:right="340" w:hanging="940"/>
        <w:spacing w:after="0"/>
        <w:tabs>
          <w:tab w:leader="none" w:pos="14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Second Amendment and Incremental Assumption Agreement, dated as of October 1, 2014, by and among LPL Financial Holdings, Inc., LPL Holdings, Inc., certain subsidiaries, the several lenders from time to time party thereto, and Bank of America, N.A. as Administrative Agent. (8)</w:t>
      </w:r>
    </w:p>
    <w:p>
      <w:pPr>
        <w:spacing w:after="0" w:line="41" w:lineRule="exact"/>
        <w:rPr>
          <w:sz w:val="20"/>
          <w:szCs w:val="20"/>
          <w:color w:val="auto"/>
        </w:rPr>
      </w:pPr>
    </w:p>
    <w:p>
      <w:pPr>
        <w:ind w:left="1420" w:right="1560" w:hanging="940"/>
        <w:spacing w:after="0" w:line="246" w:lineRule="auto"/>
        <w:tabs>
          <w:tab w:leader="none" w:pos="14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Thomson Transaction Services Master Subscription Agreement dated as of January 5, 2009 between LPL Financial Corporation and Thomson Financial LLC. (25)†</w:t>
      </w:r>
    </w:p>
    <w:p>
      <w:pPr>
        <w:spacing w:after="0" w:line="48" w:lineRule="exact"/>
        <w:rPr>
          <w:sz w:val="20"/>
          <w:szCs w:val="20"/>
          <w:color w:val="auto"/>
        </w:rPr>
      </w:pPr>
    </w:p>
    <w:p>
      <w:pPr>
        <w:ind w:left="1420" w:right="40" w:hanging="940"/>
        <w:spacing w:after="0" w:line="246" w:lineRule="auto"/>
        <w:tabs>
          <w:tab w:leader="none" w:pos="14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First Amendment dated July 28, 2014 to Master Subscription Agreement dated as of January 5, 2009 between LPL Financial Corporation and Thomson Financial LLC(22)†</w:t>
      </w:r>
    </w:p>
    <w:p>
      <w:pPr>
        <w:spacing w:after="0" w:line="30"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7"/>
          <w:szCs w:val="17"/>
          <w:color w:val="auto"/>
        </w:rPr>
        <w:t>Stock Repurchase Agreement by and among LPL Financial Holdings Inc. and TPG Partners IV, L.P., made as of February</w:t>
      </w:r>
    </w:p>
    <w:p>
      <w:pPr>
        <w:ind w:left="1420"/>
        <w:spacing w:after="0"/>
        <w:rPr>
          <w:sz w:val="20"/>
          <w:szCs w:val="20"/>
          <w:color w:val="auto"/>
        </w:rPr>
      </w:pPr>
      <w:r>
        <w:rPr>
          <w:rFonts w:ascii="Arial" w:cs="Arial" w:eastAsia="Arial" w:hAnsi="Arial"/>
          <w:sz w:val="18"/>
          <w:szCs w:val="18"/>
          <w:color w:val="auto"/>
        </w:rPr>
        <w:t>12, 2014. (21)</w:t>
      </w:r>
    </w:p>
    <w:p>
      <w:pPr>
        <w:sectPr>
          <w:pgSz w:w="11900" w:h="16838" w:orient="portrait"/>
          <w:cols w:equalWidth="0" w:num="1">
            <w:col w:w="11360"/>
          </w:cols>
          <w:pgMar w:left="240" w:top="738" w:right="299" w:bottom="1440" w:gutter="0" w:footer="0" w:header="0"/>
        </w:sectPr>
      </w:pP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21.1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List of Subsidiaries of LPL Financial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pursuant to Rule 13a-14(a).*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pursuant to Rule 13a-14(a).*</w:t>
      </w:r>
    </w:p>
    <w:p>
      <w:pPr>
        <w:spacing w:after="0" w:line="50" w:lineRule="exact"/>
        <w:rPr>
          <w:sz w:val="20"/>
          <w:szCs w:val="20"/>
          <w:color w:val="auto"/>
        </w:rPr>
      </w:pPr>
    </w:p>
    <w:p>
      <w:pPr>
        <w:sectPr>
          <w:pgSz w:w="11900" w:h="16838" w:orient="portrait"/>
          <w:cols w:equalWidth="0" w:num="2">
            <w:col w:w="880" w:space="540"/>
            <w:col w:w="9940"/>
          </w:cols>
          <w:pgMar w:left="240" w:top="738" w:right="29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32.1</w:t>
            </w:r>
          </w:p>
        </w:tc>
        <w:tc>
          <w:tcPr>
            <w:tcW w:w="9760" w:type="dxa"/>
            <w:vAlign w:val="bottom"/>
          </w:tcPr>
          <w:p>
            <w:pPr>
              <w:ind w:left="180"/>
              <w:spacing w:after="0"/>
              <w:rPr>
                <w:sz w:val="20"/>
                <w:szCs w:val="20"/>
                <w:color w:val="auto"/>
              </w:rPr>
            </w:pPr>
            <w:r>
              <w:rPr>
                <w:rFonts w:ascii="Arial" w:cs="Arial" w:eastAsia="Arial" w:hAnsi="Arial"/>
                <w:sz w:val="18"/>
                <w:szCs w:val="18"/>
                <w:color w:val="auto"/>
                <w:w w:val="99"/>
              </w:rPr>
              <w:t>Certification of the Chief Executive Officer pursuant to 18 U.S.C. Section 1350, as adopted pursuant to Section 906 of the</w:t>
            </w:r>
          </w:p>
        </w:tc>
      </w:tr>
      <w:tr>
        <w:trPr>
          <w:trHeight w:val="217"/>
        </w:trPr>
        <w:tc>
          <w:tcPr>
            <w:tcW w:w="900" w:type="dxa"/>
            <w:vAlign w:val="bottom"/>
          </w:tcPr>
          <w:p>
            <w:pPr>
              <w:spacing w:after="0"/>
              <w:rPr>
                <w:sz w:val="18"/>
                <w:szCs w:val="18"/>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256"/>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32.2</w:t>
            </w:r>
          </w:p>
        </w:tc>
        <w:tc>
          <w:tcPr>
            <w:tcW w:w="9760" w:type="dxa"/>
            <w:vAlign w:val="bottom"/>
          </w:tcPr>
          <w:p>
            <w:pPr>
              <w:ind w:left="180"/>
              <w:spacing w:after="0"/>
              <w:rPr>
                <w:sz w:val="20"/>
                <w:szCs w:val="20"/>
                <w:color w:val="auto"/>
              </w:rPr>
            </w:pPr>
            <w:r>
              <w:rPr>
                <w:rFonts w:ascii="Arial" w:cs="Arial" w:eastAsia="Arial" w:hAnsi="Arial"/>
                <w:sz w:val="18"/>
                <w:szCs w:val="18"/>
                <w:color w:val="auto"/>
                <w:w w:val="99"/>
              </w:rPr>
              <w:t>Certification of the Chief Financial Officer pursuant to 18 U.S.C. Section 1350, as adopted pursuant to Section 906 of the</w:t>
            </w:r>
          </w:p>
        </w:tc>
      </w:tr>
      <w:tr>
        <w:trPr>
          <w:trHeight w:val="217"/>
        </w:trPr>
        <w:tc>
          <w:tcPr>
            <w:tcW w:w="900" w:type="dxa"/>
            <w:vAlign w:val="bottom"/>
          </w:tcPr>
          <w:p>
            <w:pPr>
              <w:spacing w:after="0"/>
              <w:rPr>
                <w:sz w:val="18"/>
                <w:szCs w:val="18"/>
                <w:color w:val="auto"/>
              </w:rPr>
            </w:pPr>
          </w:p>
        </w:tc>
        <w:tc>
          <w:tcPr>
            <w:tcW w:w="976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101.INS</w:t>
            </w:r>
          </w:p>
        </w:tc>
        <w:tc>
          <w:tcPr>
            <w:tcW w:w="97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101.SCH</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00" w:type="dxa"/>
            <w:vAlign w:val="bottom"/>
          </w:tcPr>
          <w:p>
            <w:pPr>
              <w:jc w:val="center"/>
              <w:ind w:right="110"/>
              <w:spacing w:after="0"/>
              <w:rPr>
                <w:sz w:val="20"/>
                <w:szCs w:val="20"/>
                <w:color w:val="auto"/>
              </w:rPr>
            </w:pPr>
            <w:r>
              <w:rPr>
                <w:rFonts w:ascii="Arial" w:cs="Arial" w:eastAsia="Arial" w:hAnsi="Arial"/>
                <w:sz w:val="18"/>
                <w:szCs w:val="18"/>
                <w:color w:val="auto"/>
                <w:w w:val="99"/>
              </w:rPr>
              <w:t>101.CAL</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rPr>
              <w:t>101.DEF</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8"/>
              </w:rPr>
              <w:t>101.LAB</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57"/>
        </w:trPr>
        <w:tc>
          <w:tcPr>
            <w:tcW w:w="900" w:type="dxa"/>
            <w:vAlign w:val="bottom"/>
          </w:tcPr>
          <w:p>
            <w:pPr>
              <w:jc w:val="center"/>
              <w:ind w:right="90"/>
              <w:spacing w:after="0"/>
              <w:rPr>
                <w:sz w:val="20"/>
                <w:szCs w:val="20"/>
                <w:color w:val="auto"/>
              </w:rPr>
            </w:pPr>
            <w:r>
              <w:rPr>
                <w:rFonts w:ascii="Arial" w:cs="Arial" w:eastAsia="Arial" w:hAnsi="Arial"/>
                <w:sz w:val="18"/>
                <w:szCs w:val="18"/>
                <w:color w:val="auto"/>
                <w:w w:val="99"/>
              </w:rPr>
              <w:t>101.PRE</w:t>
            </w:r>
          </w:p>
        </w:tc>
        <w:tc>
          <w:tcPr>
            <w:tcW w:w="976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738" w:right="299" w:bottom="1440" w:gutter="0" w:footer="0" w:header="0"/>
          <w:type w:val="continuous"/>
        </w:sectPr>
      </w:pPr>
    </w:p>
    <w:bookmarkStart w:id="73" w:name="page74"/>
    <w:bookmarkEnd w:id="73"/>
    <w:p>
      <w:pPr>
        <w:ind w:left="192"/>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ind w:left="152"/>
        <w:spacing w:after="0"/>
        <w:rPr>
          <w:sz w:val="20"/>
          <w:szCs w:val="20"/>
          <w:color w:val="auto"/>
        </w:rPr>
      </w:pPr>
      <w:r>
        <w:rPr>
          <w:rFonts w:ascii="Arial" w:cs="Arial" w:eastAsia="Arial" w:hAnsi="Arial"/>
          <w:sz w:val="18"/>
          <w:szCs w:val="18"/>
          <w:color w:val="auto"/>
        </w:rPr>
        <w:t>†  Confidential treatment granted by the Securities and Exchange Commission.</w:t>
      </w:r>
    </w:p>
    <w:p>
      <w:pPr>
        <w:spacing w:after="0" w:line="50" w:lineRule="exact"/>
        <w:rPr>
          <w:sz w:val="20"/>
          <w:szCs w:val="20"/>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Amendment No. 2 to the Registration Statement on Form S-1 filed on July 9, 2010.</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June 19, 2012.</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9, 2014.</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12, 2014.</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10 filed on July 10, 2007.</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March 9, 2011.</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27, 2012.</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October 30, 2014.</w:t>
      </w:r>
    </w:p>
    <w:p>
      <w:pPr>
        <w:spacing w:after="0" w:line="49" w:lineRule="exact"/>
        <w:rPr>
          <w:rFonts w:ascii="Arial" w:cs="Arial" w:eastAsia="Arial" w:hAnsi="Arial"/>
          <w:sz w:val="18"/>
          <w:szCs w:val="18"/>
          <w:color w:val="auto"/>
        </w:rPr>
      </w:pPr>
    </w:p>
    <w:p>
      <w:pPr>
        <w:ind w:left="392" w:hanging="2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18,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December 26, 2012.</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April 25, 2013.</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April 25, 2014.</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10 filed on April 30, 2007.</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February 21,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on June 4, 2010.</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Form 8-K filed on November 25,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S-8 filed on June 5, 2008.</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Incorporated by reference to Amendment No. 4 to the Registration Statement on Form S-1 filed on November 3, 2010.</w:t>
      </w:r>
    </w:p>
    <w:p>
      <w:pPr>
        <w:spacing w:after="0" w:line="61" w:lineRule="exact"/>
        <w:rPr>
          <w:rFonts w:ascii="Arial" w:cs="Arial" w:eastAsia="Arial" w:hAnsi="Arial"/>
          <w:sz w:val="17"/>
          <w:szCs w:val="17"/>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26, 2013.</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Schedule 14A filed on April 27, 2010.</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10-K filed on February 25, 2014.</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10-Q filed on July 30, 2014.</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April 2, 2012.</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May 13, 2013.</w:t>
      </w:r>
    </w:p>
    <w:p>
      <w:pPr>
        <w:spacing w:after="0" w:line="49" w:lineRule="exact"/>
        <w:rPr>
          <w:rFonts w:ascii="Arial" w:cs="Arial" w:eastAsia="Arial" w:hAnsi="Arial"/>
          <w:sz w:val="18"/>
          <w:szCs w:val="18"/>
          <w:color w:val="auto"/>
        </w:rPr>
      </w:pPr>
    </w:p>
    <w:p>
      <w:pPr>
        <w:ind w:left="392" w:hanging="392"/>
        <w:spacing w:after="0"/>
        <w:tabs>
          <w:tab w:leader="none" w:pos="3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Amendment No. 1 to the Registration Statement on Form S-1 filed on June 22, 2010.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332"/>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9931"/>
          </w:cols>
          <w:pgMar w:left="528" w:top="760" w:right="1440"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right="160" w:firstLine="39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282"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LPL Financial Holdings Inc.</w:t>
      </w:r>
    </w:p>
    <w:p>
      <w:pPr>
        <w:spacing w:after="0" w:line="342"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By:  /s/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1758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Mark S. Casady</w:t>
      </w:r>
    </w:p>
    <w:p>
      <w:pPr>
        <w:spacing w:after="0" w:line="4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Executive Officer and</w:t>
      </w:r>
    </w:p>
    <w:p>
      <w:pPr>
        <w:ind w:left="6660"/>
        <w:spacing w:after="0"/>
        <w:rPr>
          <w:sz w:val="20"/>
          <w:szCs w:val="20"/>
          <w:color w:val="auto"/>
        </w:rPr>
      </w:pPr>
      <w:r>
        <w:rPr>
          <w:rFonts w:ascii="Arial" w:cs="Arial" w:eastAsia="Arial" w:hAnsi="Arial"/>
          <w:sz w:val="18"/>
          <w:szCs w:val="18"/>
          <w:color w:val="auto"/>
        </w:rPr>
        <w:t>Chairman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171" w:lineRule="exact"/>
        <w:rPr>
          <w:sz w:val="20"/>
          <w:szCs w:val="20"/>
          <w:color w:val="auto"/>
        </w:rPr>
      </w:pPr>
    </w:p>
    <w:p>
      <w:pPr>
        <w:ind w:firstLine="392"/>
        <w:spacing w:after="0" w:line="262" w:lineRule="auto"/>
        <w:rPr>
          <w:sz w:val="20"/>
          <w:szCs w:val="20"/>
          <w:color w:val="auto"/>
        </w:rPr>
      </w:pPr>
      <w:r>
        <w:rPr>
          <w:rFonts w:ascii="Arial" w:cs="Arial" w:eastAsia="Arial" w:hAnsi="Arial"/>
          <w:sz w:val="18"/>
          <w:szCs w:val="18"/>
          <w:color w:val="auto"/>
        </w:rPr>
        <w:t>Pursuant to the requirements of the Securities and Exchange Act of 1934, as amended, this report has been signed below by the following persons on behalf of the Registrant and in the capacities and on the dates indicated.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Signature</w:t>
            </w:r>
          </w:p>
        </w:tc>
        <w:tc>
          <w:tcPr>
            <w:tcW w:w="13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540" w:type="dxa"/>
            <w:vAlign w:val="bottom"/>
          </w:tcPr>
          <w:p>
            <w:pPr>
              <w:spacing w:after="0"/>
              <w:rPr>
                <w:sz w:val="17"/>
                <w:szCs w:val="17"/>
                <w:color w:val="auto"/>
              </w:rPr>
            </w:pPr>
          </w:p>
        </w:tc>
      </w:tr>
      <w:tr>
        <w:trPr>
          <w:trHeight w:val="595"/>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Mark S. Casady</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Mark S. Casady</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rPr>
              <w:t>Chief Executive Officer and Chairman</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Dan H. Arnold</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Dan H. Arnold</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rPr>
              <w:t>Chief Financial Officer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Jeffrey R. Buchheister</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Jeffrey R. Buchheister</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Chief Accounting Officer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Richard W. Boyce</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Richard W. Boyce</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John J. Brennan</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rPr>
              <w:t>John J. Brennan</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Paulett Eberhart</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Paulett Eberhart</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Anne M. Mulcahy</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rPr>
              <w:t>Anne M. Mulcahy</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James S. Putnam</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9"/>
              </w:rPr>
              <w:t>James S. Putnam</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James S. Riepe</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rPr>
              <w:t>James S. Riepe</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r>
        <w:trPr>
          <w:trHeight w:val="574"/>
        </w:trPr>
        <w:tc>
          <w:tcPr>
            <w:tcW w:w="3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Richard P. Schifter</w:t>
            </w: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440" w:type="dxa"/>
            <w:vAlign w:val="bottom"/>
            <w:gridSpan w:val="3"/>
          </w:tcPr>
          <w:p>
            <w:pPr>
              <w:jc w:val="center"/>
              <w:spacing w:after="0"/>
              <w:rPr>
                <w:sz w:val="20"/>
                <w:szCs w:val="20"/>
                <w:color w:val="auto"/>
              </w:rPr>
            </w:pPr>
            <w:r>
              <w:rPr>
                <w:rFonts w:ascii="Arial" w:cs="Arial" w:eastAsia="Arial" w:hAnsi="Arial"/>
                <w:sz w:val="18"/>
                <w:szCs w:val="18"/>
                <w:color w:val="auto"/>
                <w:w w:val="98"/>
              </w:rPr>
              <w:t>Richard P. Schifter</w:t>
            </w:r>
          </w:p>
        </w:tc>
        <w:tc>
          <w:tcPr>
            <w:tcW w:w="524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Director</w:t>
            </w:r>
          </w:p>
        </w:tc>
        <w:tc>
          <w:tcPr>
            <w:tcW w:w="2280" w:type="dxa"/>
            <w:vAlign w:val="bottom"/>
            <w:gridSpan w:val="3"/>
          </w:tcPr>
          <w:p>
            <w:pPr>
              <w:jc w:val="center"/>
              <w:ind w:left="710"/>
              <w:spacing w:after="0"/>
              <w:rPr>
                <w:sz w:val="20"/>
                <w:szCs w:val="20"/>
                <w:color w:val="auto"/>
              </w:rPr>
            </w:pPr>
            <w:r>
              <w:rPr>
                <w:rFonts w:ascii="Arial" w:cs="Arial" w:eastAsia="Arial" w:hAnsi="Arial"/>
                <w:sz w:val="18"/>
                <w:szCs w:val="18"/>
                <w:color w:val="auto"/>
              </w:rPr>
              <w:t>February 20, 2015</w:t>
            </w:r>
          </w:p>
        </w:tc>
      </w:tr>
    </w:tbl>
    <w:p>
      <w:pPr>
        <w:spacing w:after="0" w:line="200" w:lineRule="exact"/>
        <w:rPr>
          <w:sz w:val="20"/>
          <w:szCs w:val="20"/>
          <w:color w:val="auto"/>
        </w:rPr>
      </w:pPr>
    </w:p>
    <w:p>
      <w:pPr>
        <w:sectPr>
          <w:pgSz w:w="11900" w:h="16838" w:orient="portrait"/>
          <w:cols w:equalWidth="0" w:num="1">
            <w:col w:w="11400"/>
          </w:cols>
          <w:pgMar w:left="240" w:top="576" w:right="25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576" w:right="259" w:bottom="1440" w:gutter="0" w:footer="0" w:header="0"/>
          <w:type w:val="continuous"/>
        </w:sectPr>
      </w:pPr>
    </w:p>
    <w:bookmarkStart w:id="75" w:name="page76"/>
    <w:bookmarkEnd w:id="75"/>
    <w:p>
      <w:pPr>
        <w:ind w:left="4240"/>
        <w:spacing w:after="0"/>
        <w:rPr>
          <w:sz w:val="20"/>
          <w:szCs w:val="20"/>
          <w:color w:val="auto"/>
        </w:rPr>
      </w:pPr>
      <w:r>
        <w:rPr>
          <w:rFonts w:ascii="Arial" w:cs="Arial" w:eastAsia="Arial" w:hAnsi="Arial"/>
          <w:sz w:val="18"/>
          <w:szCs w:val="18"/>
          <w:b w:val="1"/>
          <w:bCs w:val="1"/>
          <w:color w:val="auto"/>
        </w:rPr>
        <w:t>LPL FINANCIAL HOLDINGS INC.</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consolidated financial statements of LPL Financial Holdings Inc. are included in response to Item 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tcPr>
          <w:p>
            <w:pPr>
              <w:spacing w:after="0"/>
              <w:rPr>
                <w:sz w:val="17"/>
                <w:szCs w:val="17"/>
                <w:color w:val="auto"/>
              </w:rPr>
            </w:pPr>
          </w:p>
        </w:tc>
        <w:tc>
          <w:tcPr>
            <w:tcW w:w="1360" w:type="dxa"/>
            <w:vAlign w:val="bottom"/>
            <w:gridSpan w:val="4"/>
          </w:tcPr>
          <w:p>
            <w:pPr>
              <w:jc w:val="center"/>
              <w:ind w:left="830"/>
              <w:spacing w:after="0"/>
              <w:rPr>
                <w:sz w:val="20"/>
                <w:szCs w:val="20"/>
                <w:color w:val="auto"/>
              </w:rPr>
            </w:pPr>
            <w:r>
              <w:rPr>
                <w:rFonts w:ascii="Arial" w:cs="Arial" w:eastAsia="Arial" w:hAnsi="Arial"/>
                <w:sz w:val="18"/>
                <w:szCs w:val="18"/>
                <w:b w:val="1"/>
                <w:bCs w:val="1"/>
                <w:color w:val="auto"/>
              </w:rPr>
              <w:t>Page</w:t>
            </w:r>
          </w:p>
        </w:tc>
      </w:tr>
      <w:tr>
        <w:trPr>
          <w:trHeight w:val="588"/>
        </w:trPr>
        <w:tc>
          <w:tcPr>
            <w:tcW w:w="986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9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216"/>
        </w:trPr>
        <w:tc>
          <w:tcPr>
            <w:tcW w:w="986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6">
              <w:r>
                <w:rPr>
                  <w:rFonts w:ascii="Arial" w:cs="Arial" w:eastAsia="Arial" w:hAnsi="Arial"/>
                  <w:sz w:val="18"/>
                  <w:szCs w:val="18"/>
                  <w:color w:val="0000EE"/>
                </w:rPr>
                <w:t>F-2</w:t>
              </w:r>
            </w:hyperlink>
          </w:p>
        </w:tc>
        <w:tc>
          <w:tcPr>
            <w:tcW w:w="80" w:type="dxa"/>
            <w:vAlign w:val="bottom"/>
          </w:tcPr>
          <w:p>
            <w:pPr>
              <w:spacing w:after="0"/>
              <w:rPr>
                <w:sz w:val="18"/>
                <w:szCs w:val="18"/>
                <w:color w:val="auto"/>
              </w:rPr>
            </w:pPr>
          </w:p>
        </w:tc>
      </w:tr>
      <w:tr>
        <w:trPr>
          <w:trHeight w:val="237"/>
        </w:trPr>
        <w:tc>
          <w:tcPr>
            <w:tcW w:w="9860" w:type="dxa"/>
            <w:vAlign w:val="bottom"/>
          </w:tcPr>
          <w:p>
            <w:pPr>
              <w:ind w:left="180"/>
              <w:spacing w:after="0"/>
              <w:rPr>
                <w:sz w:val="20"/>
                <w:szCs w:val="20"/>
                <w:color w:val="auto"/>
              </w:rPr>
            </w:pPr>
            <w:r>
              <w:rPr>
                <w:rFonts w:ascii="Arial" w:cs="Arial" w:eastAsia="Arial" w:hAnsi="Arial"/>
                <w:sz w:val="18"/>
                <w:szCs w:val="18"/>
                <w:color w:val="auto"/>
              </w:rPr>
              <w:t>Consolidated Statements of Income for the years ended December 31, 2014, 2013, and 2012</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7">
              <w:r>
                <w:rPr>
                  <w:rFonts w:ascii="Arial" w:cs="Arial" w:eastAsia="Arial" w:hAnsi="Arial"/>
                  <w:sz w:val="18"/>
                  <w:szCs w:val="18"/>
                  <w:color w:val="0000EE"/>
                </w:rPr>
                <w:t>F-3</w:t>
              </w:r>
            </w:hyperlink>
          </w:p>
        </w:tc>
        <w:tc>
          <w:tcPr>
            <w:tcW w:w="80" w:type="dxa"/>
            <w:vAlign w:val="bottom"/>
          </w:tcPr>
          <w:p>
            <w:pPr>
              <w:spacing w:after="0"/>
              <w:rPr>
                <w:sz w:val="20"/>
                <w:szCs w:val="20"/>
                <w:color w:val="auto"/>
              </w:rPr>
            </w:pPr>
          </w:p>
        </w:tc>
      </w:tr>
      <w:tr>
        <w:trPr>
          <w:trHeight w:val="237"/>
        </w:trPr>
        <w:tc>
          <w:tcPr>
            <w:tcW w:w="986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years ended December 31, 2014, 2013, and 2012</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8">
              <w:r>
                <w:rPr>
                  <w:rFonts w:ascii="Arial" w:cs="Arial" w:eastAsia="Arial" w:hAnsi="Arial"/>
                  <w:sz w:val="18"/>
                  <w:szCs w:val="18"/>
                  <w:color w:val="0000EE"/>
                </w:rPr>
                <w:t>F-4</w:t>
              </w:r>
            </w:hyperlink>
          </w:p>
        </w:tc>
        <w:tc>
          <w:tcPr>
            <w:tcW w:w="80" w:type="dxa"/>
            <w:vAlign w:val="bottom"/>
          </w:tcPr>
          <w:p>
            <w:pPr>
              <w:spacing w:after="0"/>
              <w:rPr>
                <w:sz w:val="20"/>
                <w:szCs w:val="20"/>
                <w:color w:val="auto"/>
              </w:rPr>
            </w:pPr>
          </w:p>
        </w:tc>
      </w:tr>
      <w:tr>
        <w:trPr>
          <w:trHeight w:val="237"/>
        </w:trPr>
        <w:tc>
          <w:tcPr>
            <w:tcW w:w="9860" w:type="dxa"/>
            <w:vAlign w:val="bottom"/>
          </w:tcPr>
          <w:p>
            <w:pPr>
              <w:ind w:left="180"/>
              <w:spacing w:after="0"/>
              <w:rPr>
                <w:sz w:val="20"/>
                <w:szCs w:val="20"/>
                <w:color w:val="auto"/>
              </w:rPr>
            </w:pPr>
            <w:r>
              <w:rPr>
                <w:rFonts w:ascii="Arial" w:cs="Arial" w:eastAsia="Arial" w:hAnsi="Arial"/>
                <w:sz w:val="18"/>
                <w:szCs w:val="18"/>
                <w:color w:val="auto"/>
              </w:rPr>
              <w:t>Consolidated Statements of Financial Condition as of December 31, 2014 and 2013</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79">
              <w:r>
                <w:rPr>
                  <w:rFonts w:ascii="Arial" w:cs="Arial" w:eastAsia="Arial" w:hAnsi="Arial"/>
                  <w:sz w:val="18"/>
                  <w:szCs w:val="18"/>
                  <w:color w:val="0000EE"/>
                </w:rPr>
                <w:t>F-5</w:t>
              </w:r>
            </w:hyperlink>
          </w:p>
        </w:tc>
        <w:tc>
          <w:tcPr>
            <w:tcW w:w="80" w:type="dxa"/>
            <w:vAlign w:val="bottom"/>
          </w:tcPr>
          <w:p>
            <w:pPr>
              <w:spacing w:after="0"/>
              <w:rPr>
                <w:sz w:val="20"/>
                <w:szCs w:val="20"/>
                <w:color w:val="auto"/>
              </w:rPr>
            </w:pPr>
          </w:p>
        </w:tc>
      </w:tr>
      <w:tr>
        <w:trPr>
          <w:trHeight w:val="237"/>
        </w:trPr>
        <w:tc>
          <w:tcPr>
            <w:tcW w:w="986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 ended December 31, 2014, 2013, and 2012</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80">
              <w:r>
                <w:rPr>
                  <w:rFonts w:ascii="Arial" w:cs="Arial" w:eastAsia="Arial" w:hAnsi="Arial"/>
                  <w:sz w:val="18"/>
                  <w:szCs w:val="18"/>
                  <w:color w:val="0000EE"/>
                </w:rPr>
                <w:t>F-6</w:t>
              </w:r>
            </w:hyperlink>
          </w:p>
        </w:tc>
        <w:tc>
          <w:tcPr>
            <w:tcW w:w="80" w:type="dxa"/>
            <w:vAlign w:val="bottom"/>
          </w:tcPr>
          <w:p>
            <w:pPr>
              <w:spacing w:after="0"/>
              <w:rPr>
                <w:sz w:val="20"/>
                <w:szCs w:val="20"/>
                <w:color w:val="auto"/>
              </w:rPr>
            </w:pPr>
          </w:p>
        </w:tc>
      </w:tr>
      <w:tr>
        <w:trPr>
          <w:trHeight w:val="237"/>
        </w:trPr>
        <w:tc>
          <w:tcPr>
            <w:tcW w:w="986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0000EE"/>
            </w:tcBorders>
          </w:tcPr>
          <w:p>
            <w:pPr>
              <w:jc w:val="center"/>
              <w:spacing w:after="0"/>
              <w:rPr>
                <w:rFonts w:ascii="Arial" w:cs="Arial" w:eastAsia="Arial" w:hAnsi="Arial"/>
                <w:sz w:val="18"/>
                <w:szCs w:val="18"/>
                <w:color w:val="0000EE"/>
              </w:rPr>
            </w:pPr>
            <w:hyperlink w:anchor="page81">
              <w:r>
                <w:rPr>
                  <w:rFonts w:ascii="Arial" w:cs="Arial" w:eastAsia="Arial" w:hAnsi="Arial"/>
                  <w:sz w:val="18"/>
                  <w:szCs w:val="18"/>
                  <w:color w:val="0000EE"/>
                </w:rPr>
                <w:t>F-7</w:t>
              </w:r>
            </w:hyperlink>
          </w:p>
        </w:tc>
        <w:tc>
          <w:tcPr>
            <w:tcW w:w="80" w:type="dxa"/>
            <w:vAlign w:val="bottom"/>
          </w:tcPr>
          <w:p>
            <w:pPr>
              <w:spacing w:after="0"/>
              <w:rPr>
                <w:sz w:val="20"/>
                <w:szCs w:val="20"/>
                <w:color w:val="auto"/>
              </w:rPr>
            </w:pPr>
          </w:p>
        </w:tc>
      </w:tr>
      <w:tr>
        <w:trPr>
          <w:trHeight w:val="237"/>
        </w:trPr>
        <w:tc>
          <w:tcPr>
            <w:tcW w:w="98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center"/>
              <w:ind w:right="80"/>
              <w:spacing w:after="0"/>
              <w:rPr>
                <w:rFonts w:ascii="Arial" w:cs="Arial" w:eastAsia="Arial" w:hAnsi="Arial"/>
                <w:sz w:val="18"/>
                <w:szCs w:val="18"/>
                <w:color w:val="0000EE"/>
              </w:rPr>
            </w:pPr>
            <w:hyperlink w:anchor="page83">
              <w:r>
                <w:rPr>
                  <w:rFonts w:ascii="Arial" w:cs="Arial" w:eastAsia="Arial" w:hAnsi="Arial"/>
                  <w:sz w:val="18"/>
                  <w:szCs w:val="18"/>
                  <w:color w:val="0000EE"/>
                </w:rPr>
                <w:t>F-9</w:t>
              </w:r>
            </w:hyperlink>
          </w:p>
        </w:tc>
      </w:tr>
      <w:tr>
        <w:trPr>
          <w:trHeight w:val="925"/>
        </w:trPr>
        <w:tc>
          <w:tcPr>
            <w:tcW w:w="9860" w:type="dxa"/>
            <w:vAlign w:val="bottom"/>
          </w:tcPr>
          <w:p>
            <w:pPr>
              <w:ind w:left="5500"/>
              <w:spacing w:after="0"/>
              <w:rPr>
                <w:sz w:val="20"/>
                <w:szCs w:val="20"/>
                <w:color w:val="auto"/>
              </w:rPr>
            </w:pPr>
            <w:r>
              <w:rPr>
                <w:rFonts w:ascii="Arial" w:cs="Arial" w:eastAsia="Arial" w:hAnsi="Arial"/>
                <w:sz w:val="18"/>
                <w:szCs w:val="18"/>
                <w:color w:val="auto"/>
              </w:rPr>
              <w:t>F-1</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20"/>
          </w:cols>
          <w:pgMar w:left="320" w:top="576"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LPL Financial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00" w:lineRule="exact"/>
        <w:rPr>
          <w:sz w:val="20"/>
          <w:szCs w:val="20"/>
          <w:color w:val="auto"/>
        </w:rPr>
      </w:pPr>
    </w:p>
    <w:p>
      <w:pPr>
        <w:spacing w:after="0" w:line="24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audited the accompanying consolidated statements of financial condition of LPL Financial Holdings Inc. and subsidiaries (the "Company") as of December 31, 2014 and 2013 and the related consolidated statements of income, comprehensive income, stockholders’ equity, and cash flows for each of the three years in the period ended December 31, 2014. These consolidated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our opinion, such consolidated financial statements present fairly, in all material respects, the consolidated financial position of the Company as of December 31, 2014 and 2013, and the results of its operations and its cash flows for each of the three years in the period ended December 31, 2014,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2014, based on the criteria established in Internal Control - Integrated Framework (2013) issued by the Committee of Sponsoring Organizations of the Treadway Commission and our report dated February 20, 2015 expressed an unqualified opinion on the Company’s internal control over financial reporting.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1305" w:right="29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38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6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60"/>
        </w:trPr>
        <w:tc>
          <w:tcPr>
            <w:tcW w:w="52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15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2,118,494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2,077,566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1,820,517</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1,337,959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1,187,352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1,062,490</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476,595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430,990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403,067</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369,821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361,252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321,558</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18,982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17,887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18,742</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51,811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65,811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34,714</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1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4,373,662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4,140,858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3,661,088</w:t>
            </w:r>
          </w:p>
        </w:tc>
        <w:tc>
          <w:tcPr>
            <w:tcW w:w="0" w:type="dxa"/>
            <w:vAlign w:val="bottom"/>
          </w:tcPr>
          <w:p>
            <w:pPr>
              <w:spacing w:after="0"/>
              <w:rPr>
                <w:sz w:val="1"/>
                <w:szCs w:val="1"/>
                <w:color w:val="auto"/>
              </w:rPr>
            </w:pPr>
          </w:p>
        </w:tc>
      </w:tr>
      <w:tr>
        <w:trPr>
          <w:trHeight w:val="254"/>
        </w:trPr>
        <w:tc>
          <w:tcPr>
            <w:tcW w:w="52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2,998,702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2,847,785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2,509,913</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421,829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400,967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362,705</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124,677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111,539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107,074</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96,845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83,503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71,796</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Professional services</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41,773</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Occupancy and equipment</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82,430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67,551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58,568</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49,015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38,924</w:t>
            </w:r>
          </w:p>
        </w:tc>
        <w:tc>
          <w:tcPr>
            <w:tcW w:w="0" w:type="dxa"/>
            <w:vAlign w:val="bottom"/>
          </w:tcPr>
          <w:p>
            <w:pPr>
              <w:spacing w:after="0"/>
              <w:rPr>
                <w:sz w:val="1"/>
                <w:szCs w:val="1"/>
                <w:color w:val="auto"/>
              </w:rPr>
            </w:pPr>
          </w:p>
        </w:tc>
      </w:tr>
      <w:tr>
        <w:trPr>
          <w:trHeight w:val="260"/>
        </w:trPr>
        <w:tc>
          <w:tcPr>
            <w:tcW w:w="52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43,823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43,075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39,522</w:t>
            </w:r>
          </w:p>
        </w:tc>
        <w:tc>
          <w:tcPr>
            <w:tcW w:w="0" w:type="dxa"/>
            <w:vAlign w:val="bottom"/>
          </w:tcPr>
          <w:p>
            <w:pPr>
              <w:spacing w:after="0"/>
              <w:rPr>
                <w:sz w:val="1"/>
                <w:szCs w:val="1"/>
                <w:color w:val="auto"/>
              </w:rPr>
            </w:pPr>
          </w:p>
        </w:tc>
      </w:tr>
      <w:tr>
        <w:trPr>
          <w:trHeight w:val="280"/>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charges</w:t>
            </w:r>
          </w:p>
        </w:tc>
        <w:tc>
          <w:tcPr>
            <w:tcW w:w="1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5,597</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109,327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113,923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103,275</w:t>
            </w:r>
          </w:p>
        </w:tc>
        <w:tc>
          <w:tcPr>
            <w:tcW w:w="0" w:type="dxa"/>
            <w:vAlign w:val="bottom"/>
          </w:tcPr>
          <w:p>
            <w:pPr>
              <w:spacing w:after="0"/>
              <w:rPr>
                <w:sz w:val="1"/>
                <w:szCs w:val="1"/>
                <w:color w:val="auto"/>
              </w:rPr>
            </w:pPr>
          </w:p>
        </w:tc>
      </w:tr>
      <w:tr>
        <w:trPr>
          <w:trHeight w:val="250"/>
        </w:trPr>
        <w:tc>
          <w:tcPr>
            <w:tcW w:w="5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11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4,023,484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3,790,147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3,339,147</w:t>
            </w:r>
          </w:p>
        </w:tc>
        <w:tc>
          <w:tcPr>
            <w:tcW w:w="0" w:type="dxa"/>
            <w:vAlign w:val="bottom"/>
          </w:tcPr>
          <w:p>
            <w:pPr>
              <w:spacing w:after="0"/>
              <w:rPr>
                <w:sz w:val="1"/>
                <w:szCs w:val="1"/>
                <w:color w:val="auto"/>
              </w:rPr>
            </w:pPr>
          </w:p>
        </w:tc>
      </w:tr>
      <w:tr>
        <w:trPr>
          <w:trHeight w:val="247"/>
        </w:trPr>
        <w:tc>
          <w:tcPr>
            <w:tcW w:w="5220" w:type="dxa"/>
            <w:vAlign w:val="bottom"/>
          </w:tcPr>
          <w:p>
            <w:pPr>
              <w:ind w:left="360"/>
              <w:spacing w:after="0"/>
              <w:rPr>
                <w:sz w:val="20"/>
                <w:szCs w:val="20"/>
                <w:color w:val="auto"/>
              </w:rPr>
            </w:pPr>
            <w:r>
              <w:rPr>
                <w:rFonts w:ascii="Arial" w:cs="Arial" w:eastAsia="Arial" w:hAnsi="Arial"/>
                <w:sz w:val="16"/>
                <w:szCs w:val="16"/>
                <w:color w:val="auto"/>
              </w:rPr>
              <w:t>Non-operating interest expense</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51,538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51,446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54,826</w:t>
            </w:r>
          </w:p>
        </w:tc>
        <w:tc>
          <w:tcPr>
            <w:tcW w:w="0" w:type="dxa"/>
            <w:vAlign w:val="bottom"/>
          </w:tcPr>
          <w:p>
            <w:pPr>
              <w:spacing w:after="0"/>
              <w:rPr>
                <w:sz w:val="1"/>
                <w:szCs w:val="1"/>
                <w:color w:val="auto"/>
              </w:rPr>
            </w:pPr>
          </w:p>
        </w:tc>
      </w:tr>
      <w:tr>
        <w:trPr>
          <w:trHeight w:val="273"/>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extinguishment of debt</w:t>
            </w:r>
          </w:p>
        </w:tc>
        <w:tc>
          <w:tcPr>
            <w:tcW w:w="11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16,524</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expenses</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4,078,965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3,849,555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3,410,497</w:t>
            </w: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1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294,697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291,303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250,591</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PROVISION FOR INCOME TAXES</w:t>
            </w:r>
          </w:p>
        </w:tc>
        <w:tc>
          <w:tcPr>
            <w:tcW w:w="1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116,654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109,446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98,673</w:t>
            </w:r>
          </w:p>
        </w:tc>
        <w:tc>
          <w:tcPr>
            <w:tcW w:w="0" w:type="dxa"/>
            <w:vAlign w:val="bottom"/>
          </w:tcPr>
          <w:p>
            <w:pPr>
              <w:spacing w:after="0"/>
              <w:rPr>
                <w:sz w:val="1"/>
                <w:szCs w:val="1"/>
                <w:color w:val="auto"/>
              </w:rPr>
            </w:pPr>
          </w:p>
        </w:tc>
      </w:tr>
      <w:tr>
        <w:trPr>
          <w:trHeight w:val="267"/>
        </w:trPr>
        <w:tc>
          <w:tcPr>
            <w:tcW w:w="5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15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178,043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151,918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EARNINGS PER SHARE (NOTE 16)</w:t>
            </w:r>
          </w:p>
        </w:tc>
        <w:tc>
          <w:tcPr>
            <w:tcW w:w="1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15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24"/>
        </w:trPr>
        <w:tc>
          <w:tcPr>
            <w:tcW w:w="5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99,847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109,443</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101,651</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106,003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111,060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603"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57"/>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181,857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151,918</w:t>
            </w:r>
          </w:p>
        </w:tc>
      </w:tr>
      <w:tr>
        <w:trPr>
          <w:trHeight w:val="260"/>
        </w:trPr>
        <w:tc>
          <w:tcPr>
            <w:tcW w:w="742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8"/>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Unrealized gain on cash flow hedges, net of tax expense of $722, $72, and $0 for the years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4"/>
        </w:trPr>
        <w:tc>
          <w:tcPr>
            <w:tcW w:w="74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ended December 31, 2014, 2013, and 2012, respectively</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8"/>
        </w:trPr>
        <w:tc>
          <w:tcPr>
            <w:tcW w:w="7420" w:type="dxa"/>
            <w:vAlign w:val="bottom"/>
          </w:tcPr>
          <w:p>
            <w:pPr>
              <w:ind w:left="520"/>
              <w:spacing w:after="0"/>
              <w:rPr>
                <w:sz w:val="20"/>
                <w:szCs w:val="20"/>
                <w:color w:val="auto"/>
              </w:rPr>
            </w:pPr>
            <w:r>
              <w:rPr>
                <w:rFonts w:ascii="Arial" w:cs="Arial" w:eastAsia="Arial" w:hAnsi="Arial"/>
                <w:sz w:val="16"/>
                <w:szCs w:val="16"/>
                <w:color w:val="auto"/>
              </w:rPr>
              <w:t>Reclassification adjustment for realized (gain) loss on cash flow hedges included in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9"/>
        </w:trPr>
        <w:tc>
          <w:tcPr>
            <w:tcW w:w="7420" w:type="dxa"/>
            <w:vAlign w:val="bottom"/>
          </w:tcPr>
          <w:p>
            <w:pPr>
              <w:ind w:left="520"/>
              <w:spacing w:after="0"/>
              <w:rPr>
                <w:sz w:val="20"/>
                <w:szCs w:val="20"/>
                <w:color w:val="auto"/>
              </w:rPr>
            </w:pPr>
            <w:r>
              <w:rPr>
                <w:rFonts w:ascii="Arial" w:cs="Arial" w:eastAsia="Arial" w:hAnsi="Arial"/>
                <w:sz w:val="16"/>
                <w:szCs w:val="16"/>
                <w:color w:val="auto"/>
              </w:rPr>
              <w:t>income, net of tax expense (benefit) of $198, $0, and ($527) for the years ended December</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8"/>
        </w:trPr>
        <w:tc>
          <w:tcPr>
            <w:tcW w:w="7420" w:type="dxa"/>
            <w:vAlign w:val="bottom"/>
          </w:tcPr>
          <w:p>
            <w:pPr>
              <w:ind w:left="520"/>
              <w:spacing w:after="0"/>
              <w:rPr>
                <w:sz w:val="20"/>
                <w:szCs w:val="20"/>
                <w:color w:val="auto"/>
              </w:rPr>
            </w:pPr>
            <w:r>
              <w:rPr>
                <w:rFonts w:ascii="Arial" w:cs="Arial" w:eastAsia="Arial" w:hAnsi="Arial"/>
                <w:sz w:val="16"/>
                <w:szCs w:val="16"/>
                <w:color w:val="auto"/>
              </w:rPr>
              <w:t>31, 2014, 2013, and 2012, respectively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850</w:t>
            </w:r>
          </w:p>
        </w:tc>
      </w:tr>
      <w:tr>
        <w:trPr>
          <w:trHeight w:val="250"/>
        </w:trPr>
        <w:tc>
          <w:tcPr>
            <w:tcW w:w="74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other comprehensive income, net of tax</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r>
      <w:tr>
        <w:trPr>
          <w:trHeight w:val="240"/>
        </w:trPr>
        <w:tc>
          <w:tcPr>
            <w:tcW w:w="74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178,865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181,972</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152,768</w:t>
            </w: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603" w:right="259" w:bottom="1440" w:gutter="0" w:footer="0" w:header="0"/>
        </w:sectPr>
      </w:pPr>
    </w:p>
    <w:bookmarkStart w:id="79" w:name="page80"/>
    <w:bookmarkEnd w:id="79"/>
    <w:p>
      <w:pPr>
        <w:ind w:left="342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8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4"/>
        </w:trPr>
        <w:tc>
          <w:tcPr>
            <w:tcW w:w="9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20"/>
        </w:trPr>
        <w:tc>
          <w:tcPr>
            <w:tcW w:w="9000" w:type="dxa"/>
            <w:vAlign w:val="bottom"/>
          </w:tcPr>
          <w:p>
            <w:pPr>
              <w:jc w:val="center"/>
              <w:ind w:left="2299"/>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568,930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512,351</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 from:</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100"/>
              <w:spacing w:after="0"/>
              <w:rPr>
                <w:sz w:val="20"/>
                <w:szCs w:val="20"/>
                <w:color w:val="auto"/>
              </w:rPr>
            </w:pPr>
            <w:r>
              <w:rPr>
                <w:rFonts w:ascii="Arial" w:cs="Arial" w:eastAsia="Arial" w:hAnsi="Arial"/>
                <w:sz w:val="16"/>
                <w:szCs w:val="16"/>
                <w:color w:val="auto"/>
              </w:rPr>
              <w:t>Clients, net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365,390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373,675</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Product sponsors, broker-dealers, and clearing organizations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177,470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174,070</w:t>
            </w:r>
          </w:p>
        </w:tc>
        <w:tc>
          <w:tcPr>
            <w:tcW w:w="0" w:type="dxa"/>
            <w:vAlign w:val="bottom"/>
          </w:tcPr>
          <w:p>
            <w:pPr>
              <w:spacing w:after="0"/>
              <w:rPr>
                <w:sz w:val="1"/>
                <w:szCs w:val="1"/>
                <w:color w:val="auto"/>
              </w:rPr>
            </w:pPr>
          </w:p>
        </w:tc>
      </w:tr>
      <w:tr>
        <w:trPr>
          <w:trHeight w:val="260"/>
        </w:trPr>
        <w:tc>
          <w:tcPr>
            <w:tcW w:w="9000" w:type="dxa"/>
            <w:vAlign w:val="bottom"/>
          </w:tcPr>
          <w:p>
            <w:pPr>
              <w:ind w:left="100"/>
              <w:spacing w:after="0"/>
              <w:rPr>
                <w:sz w:val="20"/>
                <w:szCs w:val="20"/>
                <w:color w:val="auto"/>
              </w:rPr>
            </w:pPr>
            <w:r>
              <w:rPr>
                <w:rFonts w:ascii="Arial" w:cs="Arial" w:eastAsia="Arial" w:hAnsi="Arial"/>
                <w:sz w:val="16"/>
                <w:szCs w:val="16"/>
                <w:color w:val="auto"/>
              </w:rPr>
              <w:t>Others, net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291,449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272,018</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owned:</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Trading — at fair value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Held-to-maturity</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Securities borrowed</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7,102</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Fixed assets, net</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214,154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189,059</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net of accumulated amortization of $11,724 and $7,751 at December 31, 2014 and 2013, respectively</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13,241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16,281</w:t>
            </w: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1,365,838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1,361,361</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430,704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464,522</w:t>
            </w:r>
          </w:p>
        </w:tc>
        <w:tc>
          <w:tcPr>
            <w:tcW w:w="0" w:type="dxa"/>
            <w:vAlign w:val="bottom"/>
          </w:tcPr>
          <w:p>
            <w:pPr>
              <w:spacing w:after="0"/>
              <w:rPr>
                <w:sz w:val="1"/>
                <w:szCs w:val="1"/>
                <w:color w:val="auto"/>
              </w:rPr>
            </w:pPr>
          </w:p>
        </w:tc>
      </w:tr>
      <w:tr>
        <w:trPr>
          <w:trHeight w:val="264"/>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184,306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139,991</w:t>
            </w:r>
          </w:p>
        </w:tc>
        <w:tc>
          <w:tcPr>
            <w:tcW w:w="0" w:type="dxa"/>
            <w:vAlign w:val="bottom"/>
          </w:tcPr>
          <w:p>
            <w:pPr>
              <w:spacing w:after="0"/>
              <w:rPr>
                <w:sz w:val="1"/>
                <w:szCs w:val="1"/>
                <w:color w:val="auto"/>
              </w:rPr>
            </w:pPr>
          </w:p>
        </w:tc>
      </w:tr>
      <w:tr>
        <w:trPr>
          <w:trHeight w:val="24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4,050,993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9000" w:type="dxa"/>
            <w:vAlign w:val="bottom"/>
            <w:vMerge w:val="restart"/>
          </w:tcPr>
          <w:p>
            <w:pPr>
              <w:jc w:val="center"/>
              <w:ind w:left="2299"/>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Drafts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180,099</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194,971</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Payables to clients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652,714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565,204</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Payables to broker-dealers and clearing organizations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45,427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43,157</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commission and advisory expenses payable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146,504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135,149</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289,426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301,644</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taxes payable</w:t>
            </w: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Unearned revenue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64,482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73,739</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Securities sold, but not yet purchased — at fair value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60"/>
        </w:trPr>
        <w:tc>
          <w:tcPr>
            <w:tcW w:w="9000" w:type="dxa"/>
            <w:vAlign w:val="bottom"/>
          </w:tcPr>
          <w:p>
            <w:pPr>
              <w:ind w:left="160"/>
              <w:spacing w:after="0"/>
              <w:rPr>
                <w:sz w:val="20"/>
                <w:szCs w:val="20"/>
                <w:color w:val="auto"/>
              </w:rPr>
            </w:pPr>
            <w:r>
              <w:rPr>
                <w:rFonts w:ascii="Arial" w:cs="Arial" w:eastAsia="Arial" w:hAnsi="Arial"/>
                <w:sz w:val="16"/>
                <w:szCs w:val="16"/>
                <w:color w:val="auto"/>
              </w:rPr>
              <w:t>Senior secured credit facilities</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1,634,258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1,535,096</w:t>
            </w:r>
          </w:p>
        </w:tc>
        <w:tc>
          <w:tcPr>
            <w:tcW w:w="0" w:type="dxa"/>
            <w:vAlign w:val="bottom"/>
          </w:tcPr>
          <w:p>
            <w:pPr>
              <w:spacing w:after="0"/>
              <w:rPr>
                <w:sz w:val="1"/>
                <w:szCs w:val="1"/>
                <w:color w:val="auto"/>
              </w:rPr>
            </w:pPr>
          </w:p>
        </w:tc>
      </w:tr>
      <w:tr>
        <w:trPr>
          <w:trHeight w:val="273"/>
        </w:trPr>
        <w:tc>
          <w:tcPr>
            <w:tcW w:w="9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income taxes, net</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66,181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89,369</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3,079,393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2,942,860</w:t>
            </w:r>
          </w:p>
        </w:tc>
        <w:tc>
          <w:tcPr>
            <w:tcW w:w="0" w:type="dxa"/>
            <w:vAlign w:val="bottom"/>
          </w:tcPr>
          <w:p>
            <w:pPr>
              <w:spacing w:after="0"/>
              <w:rPr>
                <w:sz w:val="1"/>
                <w:szCs w:val="1"/>
                <w:color w:val="auto"/>
              </w:rPr>
            </w:pPr>
          </w:p>
        </w:tc>
      </w:t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9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9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$.001 par value; 600,000,000 shares authorized; 118,234,552 shares and 117,112,465 shares issued at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31, 2014 and 2013, respectively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60"/>
        </w:trPr>
        <w:tc>
          <w:tcPr>
            <w:tcW w:w="900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1,355,085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1,292,374</w:t>
            </w:r>
          </w:p>
        </w:tc>
        <w:tc>
          <w:tcPr>
            <w:tcW w:w="0" w:type="dxa"/>
            <w:vAlign w:val="bottom"/>
          </w:tcPr>
          <w:p>
            <w:pPr>
              <w:spacing w:after="0"/>
              <w:rPr>
                <w:sz w:val="1"/>
                <w:szCs w:val="1"/>
                <w:color w:val="auto"/>
              </w:rPr>
            </w:pPr>
          </w:p>
        </w:tc>
      </w:tr>
      <w:tr>
        <w:trPr>
          <w:trHeight w:val="280"/>
        </w:trPr>
        <w:tc>
          <w:tcPr>
            <w:tcW w:w="9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Treasury stock, at cost — 21,089,882 shares and 15,216,301 shares at December 31, 2014 and 2013, respectively</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(506,205)</w:t>
            </w:r>
          </w:p>
        </w:tc>
        <w:tc>
          <w:tcPr>
            <w:tcW w:w="0" w:type="dxa"/>
            <w:vAlign w:val="bottom"/>
          </w:tcPr>
          <w:p>
            <w:pPr>
              <w:spacing w:after="0"/>
              <w:rPr>
                <w:sz w:val="1"/>
                <w:szCs w:val="1"/>
                <w:color w:val="auto"/>
              </w:rPr>
            </w:pPr>
          </w:p>
        </w:tc>
      </w:tr>
      <w:tr>
        <w:trPr>
          <w:trHeight w:val="260"/>
        </w:trPr>
        <w:tc>
          <w:tcPr>
            <w:tcW w:w="900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73"/>
        </w:trPr>
        <w:tc>
          <w:tcPr>
            <w:tcW w:w="9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396,121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313,570</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971,600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1,099,971</w:t>
            </w:r>
          </w:p>
        </w:tc>
        <w:tc>
          <w:tcPr>
            <w:tcW w:w="0" w:type="dxa"/>
            <w:vAlign w:val="bottom"/>
          </w:tcPr>
          <w:p>
            <w:pPr>
              <w:spacing w:after="0"/>
              <w:rPr>
                <w:sz w:val="1"/>
                <w:szCs w:val="1"/>
                <w:color w:val="auto"/>
              </w:rPr>
            </w:pPr>
          </w:p>
        </w:tc>
      </w:tr>
      <w:tr>
        <w:trPr>
          <w:trHeight w:val="24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4,050,993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4,042,831</w:t>
            </w:r>
          </w:p>
        </w:tc>
        <w:tc>
          <w:tcPr>
            <w:tcW w:w="0" w:type="dxa"/>
            <w:vAlign w:val="bottom"/>
          </w:tcPr>
          <w:p>
            <w:pPr>
              <w:spacing w:after="0"/>
              <w:rPr>
                <w:sz w:val="1"/>
                <w:szCs w:val="1"/>
                <w:color w:val="auto"/>
              </w:rPr>
            </w:pPr>
          </w:p>
        </w:tc>
      </w:tr>
      <w:tr>
        <w:trPr>
          <w:trHeight w:val="20"/>
        </w:trPr>
        <w:tc>
          <w:tcPr>
            <w:tcW w:w="9000" w:type="dxa"/>
            <w:vAlign w:val="bottom"/>
            <w:vMerge w:val="restart"/>
          </w:tcPr>
          <w:p>
            <w:pPr>
              <w:jc w:val="center"/>
              <w:ind w:left="2299"/>
              <w:spacing w:after="0"/>
              <w:rPr>
                <w:sz w:val="20"/>
                <w:szCs w:val="20"/>
                <w:color w:val="auto"/>
              </w:rPr>
            </w:pPr>
            <w:r>
              <w:rPr>
                <w:rFonts w:ascii="Arial" w:cs="Arial" w:eastAsia="Arial" w:hAnsi="Arial"/>
                <w:sz w:val="16"/>
                <w:szCs w:val="16"/>
                <w:color w:val="auto"/>
              </w:rPr>
              <w:t>See notes to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9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549" w:right="25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380"/>
          </w:cols>
          <w:pgMar w:left="260" w:top="549" w:right="25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2011</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151,918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152,768</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(199,222)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(199,222)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(248,809)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15,937</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16,117</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53,296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53,296</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21,122</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21,122</w:t>
            </w:r>
          </w:p>
        </w:tc>
        <w:tc>
          <w:tcPr>
            <w:tcW w:w="0" w:type="dxa"/>
            <w:vAlign w:val="bottom"/>
          </w:tcPr>
          <w:p>
            <w:pPr>
              <w:spacing w:after="0"/>
              <w:rPr>
                <w:sz w:val="1"/>
                <w:szCs w:val="1"/>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181,857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181,972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(219,091)</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(68,008)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34,246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35,025</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5,381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5,381</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24,672</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24,672</w:t>
            </w:r>
          </w:p>
        </w:tc>
        <w:tc>
          <w:tcPr>
            <w:tcW w:w="0" w:type="dxa"/>
            <w:vAlign w:val="bottom"/>
          </w:tcPr>
          <w:p>
            <w:pPr>
              <w:spacing w:after="0"/>
              <w:rPr>
                <w:sz w:val="1"/>
                <w:szCs w:val="1"/>
                <w:color w:val="auto"/>
              </w:rPr>
            </w:pPr>
          </w:p>
        </w:tc>
      </w:tr>
      <w:tr>
        <w:trPr>
          <w:trHeight w:val="250"/>
        </w:trPr>
        <w:tc>
          <w:tcPr>
            <w:tcW w:w="2740" w:type="dxa"/>
            <w:vAlign w:val="bottom"/>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178,043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178,865</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(275,079)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(95,616)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(95,616)</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28,530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8,218</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8,218</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27,579</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27,579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60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47"/>
        </w:trPr>
        <w:tc>
          <w:tcPr>
            <w:tcW w:w="7100" w:type="dxa"/>
            <w:vAlign w:val="bottom"/>
            <w:vMerge w:val="restart"/>
          </w:tcPr>
          <w:p>
            <w:pPr>
              <w:ind w:left="8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96,845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83,503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71,796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4,591</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Impairment of fixed assets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4,033</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disposal of fixed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27,579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24,672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21,122</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(53,296)</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(12,219)</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7,962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16,524</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changes in estimated fair value of contingent consideration obligations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12,676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11,353</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Closure of NestWise</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9,279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Loan forgiveness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21,006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65,082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(194,528)</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(68,393)</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(9,457)</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others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(53,124)</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Securities owned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borrowed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(45,523)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(19,458)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(52,216)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Drafts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15,557</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Payables to clients</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87,510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(184,301)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292,786</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18,276</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6,690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18,744</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20,743</w:t>
            </w:r>
          </w:p>
        </w:tc>
        <w:tc>
          <w:tcPr>
            <w:tcW w:w="0" w:type="dxa"/>
            <w:vAlign w:val="bottom"/>
          </w:tcPr>
          <w:p>
            <w:pPr>
              <w:spacing w:after="0"/>
              <w:rPr>
                <w:sz w:val="1"/>
                <w:szCs w:val="1"/>
                <w:color w:val="auto"/>
              </w:rPr>
            </w:pPr>
          </w:p>
        </w:tc>
      </w:tr>
      <w:tr>
        <w:trPr>
          <w:trHeight w:val="260"/>
        </w:trPr>
        <w:tc>
          <w:tcPr>
            <w:tcW w:w="7100" w:type="dxa"/>
            <w:vAlign w:val="bottom"/>
          </w:tcPr>
          <w:p>
            <w:pPr>
              <w:ind w:left="680"/>
              <w:spacing w:after="0"/>
              <w:rPr>
                <w:sz w:val="20"/>
                <w:szCs w:val="20"/>
                <w:color w:val="auto"/>
              </w:rPr>
            </w:pPr>
            <w:r>
              <w:rPr>
                <w:rFonts w:ascii="Arial" w:cs="Arial" w:eastAsia="Arial" w:hAnsi="Arial"/>
                <w:sz w:val="16"/>
                <w:szCs w:val="16"/>
                <w:color w:val="auto"/>
              </w:rPr>
              <w:t>Income taxes receivable/payable</w:t>
            </w: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14,916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47,175</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Unearned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Securities sold, but not yet purchased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232,242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160,117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603"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Years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7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47"/>
        </w:trPr>
        <w:tc>
          <w:tcPr>
            <w:tcW w:w="7100" w:type="dxa"/>
            <w:vAlign w:val="bottom"/>
            <w:vMerge w:val="restart"/>
          </w:tcPr>
          <w:p>
            <w:pPr>
              <w:ind w:left="8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71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(54,786)</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Purchase of goodwill and other intangible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(7,210)</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Deposits of restricted cash</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Release of restricted cash</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7,550</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(43,684)</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equity investment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100" w:type="dxa"/>
            <w:vAlign w:val="bottom"/>
          </w:tcPr>
          <w:p>
            <w:pPr>
              <w:ind w:left="360"/>
              <w:spacing w:after="0"/>
              <w:rPr>
                <w:sz w:val="20"/>
                <w:szCs w:val="20"/>
                <w:color w:val="auto"/>
              </w:rPr>
            </w:pPr>
            <w:r>
              <w:rPr>
                <w:rFonts w:ascii="Arial" w:cs="Arial" w:eastAsia="Arial" w:hAnsi="Arial"/>
                <w:sz w:val="16"/>
                <w:szCs w:val="16"/>
                <w:color w:val="auto"/>
              </w:rPr>
              <w:t>Purchases of minority interest investments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57"/>
        </w:trPr>
        <w:tc>
          <w:tcPr>
            <w:tcW w:w="71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(93,132)</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(74,809)</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(91,669)</w:t>
            </w:r>
          </w:p>
        </w:tc>
        <w:tc>
          <w:tcPr>
            <w:tcW w:w="0" w:type="dxa"/>
            <w:vAlign w:val="bottom"/>
          </w:tcPr>
          <w:p>
            <w:pPr>
              <w:spacing w:after="0"/>
              <w:rPr>
                <w:sz w:val="1"/>
                <w:szCs w:val="1"/>
                <w:color w:val="auto"/>
              </w:rPr>
            </w:pPr>
          </w:p>
        </w:tc>
      </w:tr>
      <w:tr>
        <w:trPr>
          <w:trHeight w:val="254"/>
        </w:trPr>
        <w:tc>
          <w:tcPr>
            <w:tcW w:w="7100" w:type="dxa"/>
            <w:vAlign w:val="bottom"/>
          </w:tcPr>
          <w:p>
            <w:pPr>
              <w:ind w:left="8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Repayment of senior secured term loans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(866,579)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(1,364,843)</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senior secured term loans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1,078,957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1,330,681</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Payment of debt issuance costs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(4,431)</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(275,079)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(199,121)</w:t>
            </w:r>
          </w:p>
        </w:tc>
        <w:tc>
          <w:tcPr>
            <w:tcW w:w="0" w:type="dxa"/>
            <w:vAlign w:val="bottom"/>
          </w:tcPr>
          <w:p>
            <w:pPr>
              <w:spacing w:after="0"/>
              <w:rPr>
                <w:sz w:val="1"/>
                <w:szCs w:val="1"/>
                <w:color w:val="auto"/>
              </w:rPr>
            </w:pPr>
          </w:p>
        </w:tc>
      </w:tr>
      <w:tr>
        <w:trPr>
          <w:trHeight w:val="260"/>
        </w:trPr>
        <w:tc>
          <w:tcPr>
            <w:tcW w:w="710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(95,616)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(68,008)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(248,809)</w:t>
            </w:r>
          </w:p>
        </w:tc>
        <w:tc>
          <w:tcPr>
            <w:tcW w:w="0" w:type="dxa"/>
            <w:vAlign w:val="bottom"/>
          </w:tcPr>
          <w:p>
            <w:pPr>
              <w:spacing w:after="0"/>
              <w:rPr>
                <w:sz w:val="1"/>
                <w:szCs w:val="1"/>
                <w:color w:val="auto"/>
              </w:rPr>
            </w:pPr>
          </w:p>
        </w:tc>
      </w:tr>
      <w:tr>
        <w:trPr>
          <w:trHeight w:val="280"/>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53,296</w:t>
            </w: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28,530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35,025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16,117</w:t>
            </w:r>
          </w:p>
        </w:tc>
        <w:tc>
          <w:tcPr>
            <w:tcW w:w="0" w:type="dxa"/>
            <w:vAlign w:val="bottom"/>
          </w:tcPr>
          <w:p>
            <w:pPr>
              <w:spacing w:after="0"/>
              <w:rPr>
                <w:sz w:val="1"/>
                <w:szCs w:val="1"/>
                <w:color w:val="auto"/>
              </w:rPr>
            </w:pPr>
          </w:p>
        </w:tc>
      </w:tr>
      <w:tr>
        <w:trPr>
          <w:trHeight w:val="250"/>
        </w:trPr>
        <w:tc>
          <w:tcPr>
            <w:tcW w:w="7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(243,362)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(34,985)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(417,110)</w:t>
            </w:r>
          </w:p>
        </w:tc>
        <w:tc>
          <w:tcPr>
            <w:tcW w:w="0" w:type="dxa"/>
            <w:vAlign w:val="bottom"/>
          </w:tcPr>
          <w:p>
            <w:pPr>
              <w:spacing w:after="0"/>
              <w:rPr>
                <w:sz w:val="1"/>
                <w:szCs w:val="1"/>
                <w:color w:val="auto"/>
              </w:rPr>
            </w:pPr>
          </w:p>
        </w:tc>
      </w:tr>
      <w:tr>
        <w:trPr>
          <w:trHeight w:val="247"/>
        </w:trPr>
        <w:tc>
          <w:tcPr>
            <w:tcW w:w="7100" w:type="dxa"/>
            <w:vAlign w:val="bottom"/>
          </w:tcPr>
          <w:p>
            <w:pPr>
              <w:ind w:left="8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50,323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(254,511)</w:t>
            </w:r>
          </w:p>
        </w:tc>
        <w:tc>
          <w:tcPr>
            <w:tcW w:w="0" w:type="dxa"/>
            <w:vAlign w:val="bottom"/>
          </w:tcPr>
          <w:p>
            <w:pPr>
              <w:spacing w:after="0"/>
              <w:rPr>
                <w:sz w:val="1"/>
                <w:szCs w:val="1"/>
                <w:color w:val="auto"/>
              </w:rPr>
            </w:pPr>
          </w:p>
        </w:tc>
      </w:tr>
      <w:tr>
        <w:trPr>
          <w:trHeight w:val="273"/>
        </w:trPr>
        <w:tc>
          <w:tcPr>
            <w:tcW w:w="71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516,584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466,261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720,772</w:t>
            </w:r>
          </w:p>
        </w:tc>
        <w:tc>
          <w:tcPr>
            <w:tcW w:w="0" w:type="dxa"/>
            <w:vAlign w:val="bottom"/>
          </w:tcPr>
          <w:p>
            <w:pPr>
              <w:spacing w:after="0"/>
              <w:rPr>
                <w:sz w:val="1"/>
                <w:szCs w:val="1"/>
                <w:color w:val="auto"/>
              </w:rPr>
            </w:pPr>
          </w:p>
        </w:tc>
      </w:tr>
      <w:tr>
        <w:trPr>
          <w:trHeight w:val="280"/>
        </w:trPr>
        <w:tc>
          <w:tcPr>
            <w:tcW w:w="71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412,332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paid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51,588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51,712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54,883</w:t>
            </w:r>
          </w:p>
        </w:tc>
        <w:tc>
          <w:tcPr>
            <w:tcW w:w="0" w:type="dxa"/>
            <w:vAlign w:val="bottom"/>
          </w:tcPr>
          <w:p>
            <w:pPr>
              <w:spacing w:after="0"/>
              <w:rPr>
                <w:sz w:val="1"/>
                <w:szCs w:val="1"/>
                <w:color w:val="auto"/>
              </w:rPr>
            </w:pPr>
          </w:p>
        </w:tc>
      </w:tr>
      <w:tr>
        <w:trPr>
          <w:trHeight w:val="224"/>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139,315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123,583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62,260</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80"/>
              <w:spacing w:after="0"/>
              <w:rPr>
                <w:sz w:val="20"/>
                <w:szCs w:val="20"/>
                <w:color w:val="auto"/>
              </w:rPr>
            </w:pPr>
            <w:r>
              <w:rPr>
                <w:rFonts w:ascii="Arial" w:cs="Arial" w:eastAsia="Arial" w:hAnsi="Arial"/>
                <w:sz w:val="16"/>
                <w:szCs w:val="16"/>
                <w:color w:val="auto"/>
              </w:rPr>
              <w:t>NONCASH DISCLOSURES: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1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22,979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5,599</w:t>
            </w:r>
          </w:p>
        </w:tc>
        <w:tc>
          <w:tcPr>
            <w:tcW w:w="0" w:type="dxa"/>
            <w:vAlign w:val="bottom"/>
          </w:tcPr>
          <w:p>
            <w:pPr>
              <w:spacing w:after="0"/>
              <w:rPr>
                <w:sz w:val="1"/>
                <w:szCs w:val="1"/>
                <w:color w:val="auto"/>
              </w:rPr>
            </w:pPr>
          </w:p>
        </w:tc>
      </w:tr>
      <w:tr>
        <w:trPr>
          <w:trHeight w:val="224"/>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Discount on proceeds from senior secured credit facilities recorded as debt issuance costs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19,319</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00" w:type="dxa"/>
            <w:vAlign w:val="bottom"/>
          </w:tcPr>
          <w:p>
            <w:pPr>
              <w:ind w:left="360"/>
              <w:spacing w:after="0"/>
              <w:rPr>
                <w:sz w:val="20"/>
                <w:szCs w:val="20"/>
                <w:color w:val="auto"/>
              </w:rPr>
            </w:pPr>
            <w:r>
              <w:rPr>
                <w:rFonts w:ascii="Arial" w:cs="Arial" w:eastAsia="Arial" w:hAnsi="Arial"/>
                <w:sz w:val="16"/>
                <w:szCs w:val="16"/>
                <w:color w:val="auto"/>
              </w:rPr>
              <w:t>Pending settlement of treasury stock purchases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41" w:right="2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12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Subsidiaries</w:t>
      </w:r>
    </w:p>
    <w:p>
      <w:pPr>
        <w:spacing w:after="0" w:line="12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LPL Holdings, Inc. (“LPLH”), a Massachusetts holding corporation, owns 100% of the issued and outstanding common stock or other ownership interest in each of LPL Financial LLC (“LPL Financial”), Fortigent Holdings Company, Inc., Independent Advisers Group Corporation (“IAG”), LPL Insurance Associates, Inc. (“LPLIA”), LPL Independent Advisor Services Group LLC (“IASG”), and UVEST Financial Services Group, Inc. (“UVEST”). LPLH is also the majority stockholder in PTC Holdings, Inc. (“PTCH”), and owns 100% of the issued and outstanding voting common stock. Each member of PTCH's board of directors meets the direct equity ownership interest requirements that are required by the Office of the Comptroller of the Currency. In late 2014, the Company entered into a subscription agreement to establish a series captive insurance entity that will underwrite insurance for various legal and regulatory risks that have previously been self-insured.</w:t>
      </w:r>
    </w:p>
    <w:p>
      <w:pPr>
        <w:spacing w:after="0" w:line="95" w:lineRule="exact"/>
        <w:rPr>
          <w:sz w:val="20"/>
          <w:szCs w:val="20"/>
          <w:color w:val="auto"/>
        </w:rPr>
      </w:pPr>
    </w:p>
    <w:p>
      <w:pPr>
        <w:ind w:right="580" w:firstLine="486"/>
        <w:spacing w:after="0" w:line="278" w:lineRule="auto"/>
        <w:rPr>
          <w:sz w:val="20"/>
          <w:szCs w:val="20"/>
          <w:color w:val="auto"/>
        </w:rPr>
      </w:pPr>
      <w:r>
        <w:rPr>
          <w:rFonts w:ascii="Arial" w:cs="Arial" w:eastAsia="Arial" w:hAnsi="Arial"/>
          <w:sz w:val="17"/>
          <w:szCs w:val="17"/>
          <w:color w:val="auto"/>
        </w:rPr>
        <w:t>LPL Financial, with primary offices in Boston, San Diego, and Charlotte, is a clearing broker-dealer and an investment adviser that principally transacts business as an agent for its advisors and financial institutions on behalf of their clients in a broad array of financial products and services. LPL Financial is licensed to operate in all 50 states, Washington D.C., Puerto Rico, and the U.S. Virgin Islands.</w:t>
      </w:r>
    </w:p>
    <w:p>
      <w:pPr>
        <w:spacing w:after="0" w:line="17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Fortigent Holdings Company, Inc. and its subsidiaries (“Fortigent”), acquired in April 2012, provides solutions and consulting services to registered investment advisors, banks, and trust companies serving high-net-worth clients.</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PTCH is a holding company for The Private Trust Company, N.A. (“PTC”). PTC is chartered as a non-depository limited purpose national bank, providing a wide range of trust, investment management oversight, and custodial services for estates and families. PTC also provides Individual Retirement Account custodial services for LPL Financial.</w:t>
      </w:r>
    </w:p>
    <w:p>
      <w:pPr>
        <w:spacing w:after="0" w:line="195" w:lineRule="exact"/>
        <w:rPr>
          <w:sz w:val="20"/>
          <w:szCs w:val="20"/>
          <w:color w:val="auto"/>
        </w:rPr>
      </w:pPr>
    </w:p>
    <w:p>
      <w:pPr>
        <w:ind w:right="580" w:firstLine="486"/>
        <w:spacing w:after="0" w:line="262" w:lineRule="auto"/>
        <w:rPr>
          <w:sz w:val="20"/>
          <w:szCs w:val="20"/>
          <w:color w:val="auto"/>
        </w:rPr>
      </w:pPr>
      <w:r>
        <w:rPr>
          <w:rFonts w:ascii="Arial" w:cs="Arial" w:eastAsia="Arial" w:hAnsi="Arial"/>
          <w:sz w:val="18"/>
          <w:szCs w:val="18"/>
          <w:color w:val="auto"/>
        </w:rPr>
        <w:t>IAG is a registered investment adviser that offers an investment advisory platform for clients of advisors working for other financial institutions.</w:t>
      </w:r>
    </w:p>
    <w:p>
      <w:pPr>
        <w:spacing w:after="0" w:line="196"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LPLIA operates as an insurance brokerage general agency that offers life, long-term care, and disability insurance products and services for LPL Financial advisors.</w:t>
      </w:r>
    </w:p>
    <w:p>
      <w:pPr>
        <w:spacing w:after="0" w:line="228"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These consolidated financial statements are prepared in accordance with accounting principles generally accepted in the United States of America (“GAAP”), which require the Company to make estimates and assumptions regarding the valuation of certain financial instruments, intangible assets, allowance for doubtful accounts, share-based compensation, accruals for liabilities, income taxes, revenue and expense accruals, and other matters that affect the consolidated financial statements and related disclosures. Actual results could differ from those estimates under different assumptions or conditions and the differences may be material to the consolidated financial statements.</w:t>
      </w:r>
    </w:p>
    <w:p>
      <w:pPr>
        <w:spacing w:after="0" w:line="260" w:lineRule="exact"/>
        <w:rPr>
          <w:sz w:val="20"/>
          <w:szCs w:val="20"/>
          <w:color w:val="auto"/>
        </w:rPr>
      </w:pPr>
    </w:p>
    <w:p>
      <w:pPr>
        <w:ind w:right="340" w:firstLine="486"/>
        <w:spacing w:after="0" w:line="252" w:lineRule="auto"/>
        <w:rPr>
          <w:sz w:val="20"/>
          <w:szCs w:val="20"/>
          <w:color w:val="auto"/>
        </w:rPr>
      </w:pPr>
      <w:r>
        <w:rPr>
          <w:rFonts w:ascii="Arial" w:cs="Arial" w:eastAsia="Arial" w:hAnsi="Arial"/>
          <w:sz w:val="18"/>
          <w:szCs w:val="18"/>
          <w:color w:val="auto"/>
        </w:rPr>
        <w:t>In the consolidated statements of income, the Company reclassified certain legal and regulatory costs from Professional Services to Other expenses to improve the transparency of its professional services costs provided by third-party vendors and to be consistent with industry peers in the presentation of costs related to these types of regulatory and legal matters. Additionally, the Company combined Regulatory Fees and Other expenses, which included certain licensing, insurance, and regulatory fee expenses, with Other expenses to be consistent with industry peers. The total amounts reclassified to Other expenses were $59.4 million and $52.8 million for the years ended December 31, 2013 and 2012, respectively.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41"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300" w:firstLine="486"/>
        <w:spacing w:after="0" w:line="256" w:lineRule="auto"/>
        <w:rPr>
          <w:sz w:val="20"/>
          <w:szCs w:val="20"/>
          <w:color w:val="auto"/>
        </w:rPr>
      </w:pPr>
      <w:r>
        <w:rPr>
          <w:rFonts w:ascii="Arial" w:cs="Arial" w:eastAsia="Arial" w:hAnsi="Arial"/>
          <w:sz w:val="18"/>
          <w:szCs w:val="18"/>
          <w:color w:val="auto"/>
        </w:rPr>
        <w:t>These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Company's internal reporting is organized into two service channels: Independent Advisor Services and Institution Services. These service channels are aggregated and viewed as one operating segment, and therefore, one reportable segment due to their similar economic characteristics, products and services, production and distribution processes, and regulatory environment.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Substantially all of the Company's revenues are based on contractual arrangements. In determining the appropriate recognition of commissions, the Company reviews the terms and conditions of the brokerage account agreements between the Company and its advisors' clients, representative agreements with its advisors, which include payout rates and terms, and selling agreements with product sponsors for packaged investment products such as mutual funds, annuities, insurance, and alternative investments. In determining the appropriate recognition of advisory revenues, the Company reviews the terms and conditions of the advisory agreements between the advisors' clients and the applicable registered investment advisor (“RIA”), representative agreements with its advisors, and agreements with third parties who provide specific investment management or investment strategies.</w:t>
      </w:r>
    </w:p>
    <w:p>
      <w:pPr>
        <w:spacing w:after="0" w:line="20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Revenues are recognized in the periods in which the related services are performed provided that persuasive evidence of an arrangement exists, the fee is fixed or determinable, and collectability is reasonably assured. Payments received by the Company in advance of the performance of service are deferred and recognized as revenue when earned.</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Management considers the nature of the Company's contractual arrangements in determining whether to recognize certain types of revenue on the basis of the gross amount billed or net amount retained after payments are made to providers of certain services related to the product or service offering.</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main factors the Company uses to determine whether to record revenue on a gross or net basis are whether:</w:t>
      </w:r>
    </w:p>
    <w:p>
      <w:pPr>
        <w:spacing w:after="0" w:line="6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is primarily responsible for the service to the advisor and their client;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discretion in establishing fees paid by the client and fees due to the third-party service provider;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is involved in the determination of product or service specifications.</w:t>
      </w:r>
    </w:p>
    <w:p>
      <w:pPr>
        <w:spacing w:after="0" w:line="171" w:lineRule="exact"/>
        <w:rPr>
          <w:sz w:val="20"/>
          <w:szCs w:val="20"/>
          <w:color w:val="auto"/>
        </w:rPr>
      </w:pPr>
    </w:p>
    <w:p>
      <w:pPr>
        <w:ind w:right="160" w:firstLine="486"/>
        <w:spacing w:after="0" w:line="256" w:lineRule="auto"/>
        <w:rPr>
          <w:sz w:val="20"/>
          <w:szCs w:val="20"/>
          <w:color w:val="auto"/>
        </w:rPr>
      </w:pPr>
      <w:r>
        <w:rPr>
          <w:rFonts w:ascii="Arial" w:cs="Arial" w:eastAsia="Arial" w:hAnsi="Arial"/>
          <w:sz w:val="18"/>
          <w:szCs w:val="18"/>
          <w:color w:val="auto"/>
        </w:rPr>
        <w:t>When client fees include a portion of charges that are paid to another party and the Company is primarily responsible for providing the service to the client, revenue is recognized on a gross basis in an amount equal to the fee paid by the client. The cost of revenues recognized is the amount due to the other party and is recorded as commission and advisory expense in the consolidated statements of income.</w:t>
      </w:r>
    </w:p>
    <w:p>
      <w:pPr>
        <w:spacing w:after="0" w:line="202"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In instances in which another party is primarily responsible for providing the service to the client, revenue is recognized in the net amount retained by the Company. The portion of the fees that are collected from the client by the Company and remitted to the other party are considered pass through amounts and accordingly are not a component of revenues or cost of revenues.</w:t>
      </w:r>
    </w:p>
    <w:p>
      <w:pPr>
        <w:spacing w:after="0" w:line="20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recognizes revenue related to commission, advisory fees, asset-based fees, transaction and fees, and interest income, net of interest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Commission revenues represent commissions generated by the Company's advisors for their clients' purchases and sales of securities on exchanges and over-the-counter, as well as purchases of various investment products such as mutual funds, variable and fixed annuities, alternative investments including non-traded real estate investment trusts and business development companies, fixed income, insurance, group annuities, and option and commodity transactions. The Company generates two types of commission revenues: transaction-based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41"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color w:val="auto"/>
        </w:rPr>
        <w:t>sales commissions that occur at the point of sale, as well as trailing commissions for which the Company provides ongoing support, awareness, and education to clients of its advisors.</w:t>
      </w:r>
    </w:p>
    <w:p>
      <w:pPr>
        <w:spacing w:after="0" w:line="196"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Transaction-based sales commissions are recognized as revenue on a trade-date basis, which is when the Company's performance obligations in generating the commissions have been substantially completed. The Company settles a significant volume of transactions that are initiated directly between its advisors and product sponsors, particularly with regard to mutual fund, 529 education savings plan, fixed and variable annuity, and insurance products. As a result, management must estimate a portion of its commission revenues earned from clients for purchases and sales of these products for each accounting period for which the proceeds have not yet been received. These estimates are based on the amount of commissions earned from transactions in these products in prior periods.</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Trailing commission revenues include mutual fund, 529 education savings plan, and fixed and variable product trailing fees, which are recurring in nature. These trailing fees are earned by the Company based on a percentage of the current market value of clients' investment holdings in trail-eligible assets, and recognized over the period during which services are performed. Because trailing commission revenues are generally paid in arrears, management estimates the majority of trailing commission revenues earned during each period. These estimates are based on a number of factors, including market levels and the amount of trailing commission revenues received in prior periods. Commission revenue accruals are classified within receivables from product sponsors, broker-dealers, and clearing organizations in the consolidated statements of financial condition.</w:t>
      </w:r>
    </w:p>
    <w:p>
      <w:pPr>
        <w:spacing w:after="0" w:line="207"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A substantial portion of the commission revenue is ultimately paid to the advisors. The Company records an estimate for commissions payable based upon average payout ratios for each product for which the Company has accrued commission revenue. Such amounts are classified as payables to broker-dealers and clearing organizations in the consolidated statements of financial condition and commission and advisory expense in the consolidated statements of income.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jc w:val="both"/>
        <w:ind w:right="560" w:firstLine="486"/>
        <w:spacing w:after="0" w:line="256" w:lineRule="auto"/>
        <w:rPr>
          <w:sz w:val="20"/>
          <w:szCs w:val="20"/>
          <w:color w:val="auto"/>
        </w:rPr>
      </w:pPr>
      <w:r>
        <w:rPr>
          <w:rFonts w:ascii="Arial" w:cs="Arial" w:eastAsia="Arial" w:hAnsi="Arial"/>
          <w:sz w:val="18"/>
          <w:szCs w:val="18"/>
          <w:color w:val="auto"/>
        </w:rPr>
        <w:t>The Company records fees charged to clients as advisory revenues in advisory accounts where LPL Financial or IAG is the RIA. A substantial portion of these advisory fees are paid to the related advisor and these payments are classified as commission and advisory expense in the consolidated statements of income.</w:t>
      </w:r>
    </w:p>
    <w:p>
      <w:pPr>
        <w:spacing w:after="0" w:line="20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Certain advisors conduct their advisory business through separate entities by establishing their own RIA pursuant to the Investment Advisers Act of 1940, rather than using the Company's corporate RIA. These stand-alone RIAs (“Independent RIA”) engage the Company for clearing, regulatory and custody services, as well as access to the Company's investment advisory platforms. The advisory revenue generated by these Independent RIAs is earned by the advisors, and accordingly not included in the Company's advisory revenues.</w:t>
      </w:r>
    </w:p>
    <w:p>
      <w:pPr>
        <w:spacing w:after="0" w:line="20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charges administrative fees based on the value of assets within these advisory accounts, which are classified as advisory revenues in the consolidated statements of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Asset-based revenues are comprised of fees from cash sweep programs, financial product manufacturer sponsorship programs, and omnibus processing and networking services and are recognized ratably over the period in which services are provided.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charges fees for executing certain transactions in client accounts. Transaction related charges are recognized on a trade-date basis. Other fees relate to services provided and other account charges generally outlined in agreements with clients, advisors, and financial institutions. Such fees are recognized as services are performed or as earned, as applicable. In addition, the Company offers various services for which fees are charged on a subscription basis and recognized over the subscription period.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4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 of Interest Expense</w:t>
      </w:r>
    </w:p>
    <w:p>
      <w:pPr>
        <w:spacing w:after="0" w:line="24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earns interest income from its cash equivalents and client margin balances, less interest expense on related transactions. Because interest expense incurred in connection with cash equivalents and client margin balances is completely offset by revenue on related transactions, the Company considers such interest to be an operating expense. Interest expense from operations for the years ended December 31, 2014, 2013, and 2012 did not exceed $1.0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records compensation and benefits expense for all cash and deferred compensation, benefits, and related taxes as earned by its employees. Compensation and benefits expense also includes fees earned by temporary employees and contractors who perform similar services to those performed by the Company’s employees, primarily software development and project management activities.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Certain employees, officers, directors, advisors, and financial institutions of the Company participate in various long-term incentive plans that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04"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The Company recognizes share-based compensation for equity awards granted to employees, officers, and directors as compensation and benefits expense on the consolidated statements of income. The fair value of stock options is estimated using a Black-Scholes valuation model on the date of grant. The fair value of restricted stock awards and restricted stock units is equal to the closing price of the Company’s stock on the date of grant. Share-based compensation is recognized over the requisite service period of the individual awards, which generally equals the vesting period.</w:t>
      </w:r>
    </w:p>
    <w:p>
      <w:pPr>
        <w:spacing w:after="0" w:line="20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 recognizes share -based compensation for equity awards granted to advisors and financial institutions as commissions and advisory expense on the consolidated statements of income. The fair value of stock options and warrants is estimated using a Black-Scholes valuation model on the date of grant and is revalued at each reporting period. The fair value of restricted stock units is equal to the closing price of the Company’s stock on the date of grant and on the last day of each reporting period. Share-based compensation is recognized over the requisite service period of the individual awards, which generally equals the vesting period.</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 xml:space="preserve">The Company must also make assumptions regarding the number of stock options, warrants, restricted stock awards, and restricted stock units that will be forfeited. The forfeiture assumption is ultimately adjusted to the actual forfeiture rate. Therefore, changes in the forfeiture assumptions do not impact the total amount of expense ultimately recognized over the vesting period. Rather, different forfeiture assumptions would only impact the timing of expense recognition over the vesting period. See Note 15. </w:t>
      </w:r>
      <w:r>
        <w:rPr>
          <w:rFonts w:ascii="Arial" w:cs="Arial" w:eastAsia="Arial" w:hAnsi="Arial"/>
          <w:sz w:val="18"/>
          <w:szCs w:val="18"/>
          <w:i w:val="1"/>
          <w:iCs w:val="1"/>
          <w:color w:val="auto"/>
        </w:rPr>
        <w:t>Share-Based Compensation</w:t>
      </w:r>
      <w:r>
        <w:rPr>
          <w:rFonts w:ascii="Arial" w:cs="Arial" w:eastAsia="Arial" w:hAnsi="Arial"/>
          <w:sz w:val="18"/>
          <w:szCs w:val="18"/>
          <w:color w:val="auto"/>
        </w:rPr>
        <w:t>, for additional information regarding share-based compensation for equity awards granted.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Basic earnings per share is computed by dividing net income available to common shareholders by the basic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In preparing the consolidated financial statements, the Company estimates income tax expense based on various jurisdictions where it conducts business. The Company then must assess the likelihood that the deferred tax assets will be realized. A valuation allowance is established to the extent that it is more-likely-than-not that such deferred tax assets will not be realized. When the Company establishes a valuation allowance or modifies the existing allowance in a certain reporting period, it generally records a corresponding increase or decrease to tax expense in the consolidated statements of income. Management makes significant judgments in determining the provision for income taxes, the deferred tax assets and liabilities, and any valuation allowances recorded against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deferred tax asset. Changes in the estimate of these taxes occur periodically due to changes in the tax rates, changes in the business operations, implementation of tax planning strategies, resolution with taxing authorities of issues where the Company had previously taken certain tax positions, and newly enacted statutory, judicial, and regulatory guidance. These changes could have a material effect on the Company’s consolidated statements of income, financial condition, or cash flows in the period or periods in which they occur. Income tax credits are accounted for using the flow-through method as a reduction of income tax in the years utilized.</w:t>
      </w:r>
    </w:p>
    <w:p>
      <w:pPr>
        <w:spacing w:after="0" w:line="206"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The Company recognizes the tax effects of a position in the consolidated financial statements only if it is more-likely-than-not to be sustained based solely on its technical merits, otherwise no benefits of the position are to be recognized. The more-likely-than-not threshold must continue to be met in each reporting period to support continued recognition of a benefit. Moreover, each tax position meeting the recognition threshold is required to be measured as the largest amount that is greater than 50 percent likely to be realized upon ultimate settlement with a taxing authority that has full knowledge of all relevant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Cash equivalents are highly liquid investments with an original maturity of 90 days or less that are not required to be segregated under federal or other regulations. The Company's cash and cash equivalents are composed of interest and noninterest-bearing deposits, money market funds, and U.S. government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Securities Segregated Under Federal and Other Regulations</w:t>
      </w:r>
    </w:p>
    <w:p>
      <w:pPr>
        <w:spacing w:after="0" w:line="247"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The Company's subsidiary, LPL Financial, is subject to requirements related to maintaining cash or qualified securities in a segregated reserve account for the exclusive benefit of its customers in accordance with Rule 15c3-3 of the Security Exchange Act of 1934, as amended, and other regulations.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and Payables to Clients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Receivables from clients include amounts due on cash and margin transactions. The Company extends credit to clients of its advisors to finance their purchases of securities on margin and receives income from interest charged on such extensions of credit. Payables to clients represent credit balances in client accounts arising from deposits of funds, proceeds from sales of securities, and dividend and interest payments received on securities held in client accounts at LPL Financial. At December 31, 2014 and 2013, $646.4 million and $549.5 million, respectively, of the balance represent free credit balances that are held pending re-investment by the clients. The Company pays interest on certain client payable balances.</w:t>
      </w:r>
    </w:p>
    <w:p>
      <w:pPr>
        <w:spacing w:after="0" w:line="2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To the extent that margin loans and other receivables from clients are not fully collateralized by client securities, management establishes an allowance that it believes is sufficient to cover any probable losses. When establishing this allowance, management considers a number of factors, including its ability to collect from the client or the client’s advisor and the Company’s historical experience in collecting on such transactions.</w:t>
      </w:r>
    </w:p>
    <w:p>
      <w:pPr>
        <w:spacing w:after="0" w:line="204"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clients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r>
        <w:trPr>
          <w:trHeight w:val="264"/>
        </w:trPr>
        <w:tc>
          <w:tcPr>
            <w:tcW w:w="9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r>
      <w:tr>
        <w:trPr>
          <w:trHeight w:val="24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 December 31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Others</w:t>
      </w:r>
    </w:p>
    <w:p>
      <w:pPr>
        <w:spacing w:after="0" w:line="247"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Receivables from others primarily consist of accrued fees from product sponsors and amounts due from advisors. The Company periodically extends credit to its advisors in the form of recruiting loans, commission advances, and other loans. The decisions to extend credit to advisors are generally based on either the advisors’ credit history and their ability to generate future commissions. Certain loans made in connection with recruiting are forgivable over terms ranging from three to five years provided that the advisor remains licensed through LPL Financial. At December 31, 2014, advisor loans totaled $121.0 million, of which $68.6 million was forgivable. Management maintains an allowance for uncollectible amounts, which excludes advisor loans that are forgivable, using an aging analysis that takes into account the advisors’ registration status and the specific type of receivable.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4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aging thresholds and specific percentages used represent management’s best estimates of probable losses. Management monitors the adequacy of these estimates through periodic evaluations against actual trends experienced.</w:t>
      </w:r>
    </w:p>
    <w:p>
      <w:pPr>
        <w:spacing w:after="0" w:line="196" w:lineRule="exact"/>
        <w:rPr>
          <w:sz w:val="20"/>
          <w:szCs w:val="20"/>
          <w:color w:val="auto"/>
        </w:rPr>
      </w:pPr>
    </w:p>
    <w:p>
      <w:pPr>
        <w:ind w:right="680" w:firstLine="486"/>
        <w:spacing w:after="0" w:line="262" w:lineRule="auto"/>
        <w:rPr>
          <w:sz w:val="20"/>
          <w:szCs w:val="20"/>
          <w:color w:val="auto"/>
        </w:rPr>
      </w:pPr>
      <w:r>
        <w:rPr>
          <w:rFonts w:ascii="Arial" w:cs="Arial" w:eastAsia="Arial" w:hAnsi="Arial"/>
          <w:sz w:val="18"/>
          <w:szCs w:val="18"/>
          <w:color w:val="auto"/>
        </w:rPr>
        <w:t>The following schedule reflects the Company’s activity in providing for an allowance for uncollectible amounts due from others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90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57"/>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 — January 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6,675</w:t>
            </w:r>
          </w:p>
        </w:tc>
      </w:tr>
      <w:tr>
        <w:trPr>
          <w:trHeight w:val="260"/>
        </w:trPr>
        <w:tc>
          <w:tcPr>
            <w:tcW w:w="9040" w:type="dxa"/>
            <w:vAlign w:val="bottom"/>
          </w:tcPr>
          <w:p>
            <w:pPr>
              <w:ind w:left="40"/>
              <w:spacing w:after="0"/>
              <w:rPr>
                <w:sz w:val="20"/>
                <w:szCs w:val="20"/>
                <w:color w:val="auto"/>
              </w:rPr>
            </w:pPr>
            <w:r>
              <w:rPr>
                <w:rFonts w:ascii="Arial" w:cs="Arial" w:eastAsia="Arial" w:hAnsi="Arial"/>
                <w:sz w:val="16"/>
                <w:szCs w:val="16"/>
                <w:color w:val="auto"/>
              </w:rPr>
              <w:t>Provision for doubtful accounts</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2,020</w:t>
            </w:r>
          </w:p>
        </w:tc>
      </w:tr>
      <w:tr>
        <w:trPr>
          <w:trHeight w:val="273"/>
        </w:trPr>
        <w:tc>
          <w:tcPr>
            <w:tcW w:w="9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Charge-offs, net of recoveries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w:t>
            </w:r>
          </w:p>
        </w:tc>
      </w:tr>
      <w:tr>
        <w:trPr>
          <w:trHeight w:val="240"/>
        </w:trPr>
        <w:tc>
          <w:tcPr>
            <w:tcW w:w="9040" w:type="dxa"/>
            <w:vAlign w:val="bottom"/>
          </w:tcPr>
          <w:p>
            <w:pPr>
              <w:ind w:left="40"/>
              <w:spacing w:after="0"/>
              <w:rPr>
                <w:sz w:val="20"/>
                <w:szCs w:val="20"/>
                <w:color w:val="auto"/>
              </w:rPr>
            </w:pPr>
            <w:r>
              <w:rPr>
                <w:rFonts w:ascii="Arial" w:cs="Arial" w:eastAsia="Arial" w:hAnsi="Arial"/>
                <w:sz w:val="16"/>
                <w:szCs w:val="16"/>
                <w:color w:val="auto"/>
              </w:rPr>
              <w:t>Ending balance — December 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8,379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7,091</w:t>
            </w:r>
          </w:p>
        </w:tc>
      </w:tr>
      <w:tr>
        <w:trPr>
          <w:trHeight w:val="20"/>
        </w:trPr>
        <w:tc>
          <w:tcPr>
            <w:tcW w:w="9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Owned and Securities Sold, But Not Yet Purchased</w:t>
      </w:r>
    </w:p>
    <w:p>
      <w:pPr>
        <w:spacing w:after="0" w:line="30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Securities owned and securities sold, but not yet purchased include trading and held-to-maturity securities. The Company generally classifies its investments in debt and equity instruments (including mutual funds, annuities, corporate bonds, government bonds, and municipal bonds) as trading securities, except for U.S. government notes held by PTC, which are classified as held-to-maturity securities. The Company has not classified any investments as available-for-sale. Investment classifications are subject to ongoing review and can change.</w:t>
      </w:r>
    </w:p>
    <w:p>
      <w:pPr>
        <w:spacing w:after="0" w:line="204"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Securities classified as trading are carried at fair value, while securities classified as held-to-maturity are carried at amortized cost. 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December 31, 2014, the Company did not adjust prices received from the independent third-party pricing services.</w:t>
      </w:r>
    </w:p>
    <w:p>
      <w:pPr>
        <w:spacing w:after="0" w:line="21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Interest income is accrued as earned. Premiums and discounts are amortized using a method that approximates the effective yield method over the term of the security and are recorded as an adjustment to the investment yield. The Company makes estimates about the fair value of investments and the timing for recognizing losses based on market conditions and other factors. If these estimates change, the Company may recognize additional losses. Both unrealized and realized gains and losses on trading securities are recognized in other revenue on a net basis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Borrowed</w:t>
      </w:r>
    </w:p>
    <w:p>
      <w:pPr>
        <w:spacing w:after="0" w:line="24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Securities borrowed are accounted for as collateralized financings and are recorded at contract value, representing the amount of cash provided for securities borrowed transactions (generally in excess of market values). The adequacy of the collateral deposited, which is determined by comparing the market value of the securities borrowed to the cash loaned</w:t>
      </w:r>
      <w:r>
        <w:rPr>
          <w:rFonts w:ascii="Arial" w:cs="Arial" w:eastAsia="Arial" w:hAnsi="Arial"/>
          <w:sz w:val="18"/>
          <w:szCs w:val="18"/>
          <w:i w:val="1"/>
          <w:iCs w:val="1"/>
          <w:color w:val="auto"/>
        </w:rPr>
        <w:t>,</w:t>
      </w:r>
      <w:r>
        <w:rPr>
          <w:rFonts w:ascii="Arial" w:cs="Arial" w:eastAsia="Arial" w:hAnsi="Arial"/>
          <w:sz w:val="18"/>
          <w:szCs w:val="18"/>
          <w:color w:val="auto"/>
        </w:rPr>
        <w:t xml:space="preserve"> is continuously monitored and is adjusted when considered necessary to minimize the risk associated with this activity.</w:t>
      </w:r>
    </w:p>
    <w:p>
      <w:pPr>
        <w:spacing w:after="0" w:line="96" w:lineRule="exact"/>
        <w:rPr>
          <w:sz w:val="20"/>
          <w:szCs w:val="20"/>
          <w:color w:val="auto"/>
        </w:rPr>
      </w:pPr>
    </w:p>
    <w:p>
      <w:pPr>
        <w:ind w:right="200" w:firstLine="486"/>
        <w:spacing w:after="0" w:line="256" w:lineRule="auto"/>
        <w:rPr>
          <w:sz w:val="20"/>
          <w:szCs w:val="20"/>
          <w:color w:val="auto"/>
        </w:rPr>
      </w:pPr>
      <w:r>
        <w:rPr>
          <w:rFonts w:ascii="Arial" w:cs="Arial" w:eastAsia="Arial" w:hAnsi="Arial"/>
          <w:sz w:val="18"/>
          <w:szCs w:val="18"/>
          <w:color w:val="auto"/>
        </w:rPr>
        <w:t>The Company borrows securities from other broker-dealers to make deliveries or to facilitate customer short sales. As of December 31, 2014, the contract and collateral market values of borrowed securities were $5.0 million and $4.9 million, respectively. As of December 31, 2013, the contract and collateral market values of borrowed securities were $7.1 million and $7.0 million,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247"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Internally developed software, leasehold improvements, computers and software, and furniture and equipment are recorded at historical cost, net of accumulated depreciation and amortization. Depreciation is recognized using the straight-line method over the estimated useful lives of the assets. The Company charges</w:t>
      </w:r>
    </w:p>
    <w:p>
      <w:pPr>
        <w:sectPr>
          <w:pgSz w:w="11900" w:h="16838" w:orient="portrait"/>
          <w:cols w:equalWidth="0" w:num="1">
            <w:col w:w="11420"/>
          </w:cols>
          <w:pgMar w:left="240" w:top="44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1" w:right="239" w:bottom="1440" w:gutter="0" w:footer="0" w:header="0"/>
          <w:type w:val="continuous"/>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software development costs to operations as incurred during the preliminary project stage, while capitalizing costs at the point at which the conceptual formulation, design, and testing of possible software project alternatives are complete and management authorizes and commits to funding the project. The costs of internally developed software that qualify for capitalization are capitalized as fixed assets and subsequently amortized over the estimated useful life of the software, which is generally three years. The Company does not capitalize pilot projects and projects for which it believes that the future economic benefits are less than probable. Leasehold improvements are amortized over the lesser of their useful lives or the terms of the underlying leases. Computers and software, as well as furniture and equipment, are depreciated over a period of three to seven years. Land is not depreciated.</w:t>
      </w:r>
    </w:p>
    <w:p>
      <w:pPr>
        <w:spacing w:after="0" w:line="261"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Management reviews fixed assets for impairment whenever events or changes in circumstances indicate the carrying amount of the assets may not be recoverable. During the years ended December 31, 2013 and 2012, the Company recorded an asset impairment charge of $0.8 million and $4.0 million, respectively, for certain fixed assets related to internally developed software that were determined to no longer have future economic benefit. The $0.8 million asset impairment charge for the year ended December 31, 2013 is included in restructuring charges within the consolidated statements of income. No impairment occurred for the year ended December 31,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these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20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These assumptions are based in part on historical experience, market data, and information obtained from the management of the acquired companies and are inherently uncertain.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w:t>
      </w:r>
    </w:p>
    <w:p>
      <w:pPr>
        <w:spacing w:after="0" w:line="9" w:lineRule="exact"/>
        <w:rPr>
          <w:sz w:val="20"/>
          <w:szCs w:val="20"/>
          <w:color w:val="auto"/>
        </w:rPr>
      </w:pPr>
    </w:p>
    <w:p>
      <w:pPr>
        <w:ind w:firstLine="8"/>
        <w:spacing w:after="0" w:line="262" w:lineRule="auto"/>
        <w:tabs>
          <w:tab w:leader="none" w:pos="2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expected cash flows from client relationships, advisor relationships, and product sponsor relationships; (ii) estimates to develop or use software; and (iii) discount rates.</w:t>
      </w:r>
    </w:p>
    <w:p>
      <w:pPr>
        <w:spacing w:after="0" w:line="196"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purchase price allocation. The Company continues to gather information for and evaluate pre-acquisition contingencies throughout the measurement period, with changes to the amounts recorded or identified additional pre-acquisition contingencies included in the purchase price allocation and, subsequently, in the Company's results of operations.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upon the terms of the applicable purchase agreement, that is contingent upon the achievement of certain financial or operating targets. The fair value of the contingent consideration is determined using financial forecasts and other estimates that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the Company's expectations of future performance. The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41" w:right="2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change in the estimated fair value of contingent consideration has been classified as other expenses in the consolidated statements of income.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47" w:lineRule="exact"/>
        <w:rPr>
          <w:sz w:val="20"/>
          <w:szCs w:val="20"/>
          <w:color w:val="auto"/>
        </w:rPr>
      </w:pPr>
    </w:p>
    <w:p>
      <w:pPr>
        <w:ind w:right="620" w:firstLine="486"/>
        <w:spacing w:after="0" w:line="256" w:lineRule="auto"/>
        <w:rPr>
          <w:sz w:val="20"/>
          <w:szCs w:val="20"/>
          <w:color w:val="auto"/>
        </w:rPr>
      </w:pPr>
      <w:r>
        <w:rPr>
          <w:rFonts w:ascii="Arial" w:cs="Arial" w:eastAsia="Arial" w:hAnsi="Arial"/>
          <w:sz w:val="18"/>
          <w:szCs w:val="18"/>
          <w:color w:val="auto"/>
        </w:rPr>
        <w:t xml:space="preserve">Goodwill and other indefinite-lived assets are not amortized; however, intangible assets that are deemed to have definite lives are amortized over their useful lives, generally ranging from 5 - 20 years.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for additional information regarding the Company's goodwill and other intangible assets.</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Goodwill and other indefinite-lived intangible assets are tested annually for impairment in the fourth fiscal quarter and between annual tests if certain events occur indicating that the carrying amounts may be impaired. If a qualitative assessment is used and the Company determines that the fair value of a reporting unit or indefinite-lived intangible asset is more likely than not (i.e., a likelihood of more than 50%) less than its carrying amount, a quantitative impairment test will be performed. If goodwill or other indefinite-lived intangible assets are quantitatively assessed for impairment, a two-step approach is applied. First, the Company compares the estimated fair value of the reporting unit in which the asset resides to its carrying value. The second step, if necessary, measures the amount of such impairment by comparing the implied fair value of the asset to its carrying value. No impairment of goodwill or other indefinite-lived intangible assets was recognized during the years ended December 31, 2014, 2013, or 2012.</w:t>
      </w:r>
    </w:p>
    <w:p>
      <w:pPr>
        <w:spacing w:after="0" w:line="20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Long-lived assets, such as intangible assets subject to amortization, are reviewed for impairment when there is evidence that events or changes in circumstances indicate that the carrying amount of an asset or asset group may not be recoverable. Recoverability of assets to be held and used is measured by comparing the carrying amount of an asset or asset group to estimated undiscounted future cash flows expected to be generated by the asset or asset group. If the carrying amount of an asset or asset group exceeds its estimated future cash flows, an impairment charge is recognized for the amount by which the carrying amount of the asset or asset group exceeds the estimated fair value of the asset or asset group. Long-lived assets to be disposed of by sale are reported at the lower of their carrying amounts or their estimated fair values less costs to sell and are not depreciated. No impairment of definite-lived intangible assets was recognized during the years ended December 31, 2014, 2013, or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Debt issuance and amendment costs have been capitalized and are being amortized as additional interest expense over the expected terms of the related debt agreements.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30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 xml:space="preserve">The Company uses derivative financial instruments, consisting of non-deliverable foreign currency forward contracts, to mitigate foreign currency exchange rate risk related to operating expenses that are subject to repricing. The Company has designated these derivative financial instruments as cash flow hedges, all of which qualify for hedge accounting. The Company assesses the ongoing effectiveness of its cash flow hedges. Changes in the fair value for the effective portion of the Company's cash flow hedges are presented in other comprehensive income and reclassified into earnings to match the timing of the underlying hedged item. Hedge ineffectiveness is measured at the end of each fiscal quarter, with any gains or losses realized into earnings in the current period. See Note 9.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for additional information regarding the Company's derivative financial instruments.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 Instruments</w:t>
      </w:r>
    </w:p>
    <w:p>
      <w:pPr>
        <w:spacing w:after="0" w:line="301"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 xml:space="preserve">The Company carries its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 regarding the Company's fair value measurements. As of December 31, 2014, the carrying amount and fair value of the Company’s indebtedness was approximately $1,634.3 million and $1,620.8 million, respectively. As of December 31, 2013, the carrying amount and fair value was approximately $1,535.1 million and $1,533.3 million, respectively.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41"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recognizes a liability with regard to loss contingencies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w:t>
      </w:r>
    </w:p>
    <w:p>
      <w:pPr>
        <w:spacing w:after="0" w:line="204"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The Company records legal accruals and related insurance recoveries on a gross basis. Defense costs are expensed as incurred and classified as other expenses within the consolidated statements of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21"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which completes the joint effort by the FASB and the International Accounting Standards Board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financial reporting by creating common revenue recognition guidance for GAAP and the International Financial Reporting Standards. ASU 2014-09 will become effective for the Company beginning January 1, 2017 and early adoption is not permitted. The Company is currently evaluating the potential impact of ASU 2014-09 on its financial statements.</w:t>
      </w:r>
    </w:p>
    <w:p>
      <w:pPr>
        <w:spacing w:after="0" w:line="76"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w:t>
      </w:r>
      <w:r>
        <w:rPr>
          <w:rFonts w:ascii="Arial" w:cs="Arial" w:eastAsia="Arial" w:hAnsi="Arial"/>
          <w:sz w:val="16"/>
          <w:szCs w:val="16"/>
          <w:color w:val="auto"/>
        </w:rPr>
        <w:t>—</w:t>
      </w:r>
      <w:r>
        <w:rPr>
          <w:rFonts w:ascii="Arial" w:cs="Arial" w:eastAsia="Arial" w:hAnsi="Arial"/>
          <w:sz w:val="18"/>
          <w:szCs w:val="18"/>
          <w:i w:val="1"/>
          <w:iCs w:val="1"/>
          <w:color w:val="auto"/>
        </w:rPr>
        <w:t>Going Concern</w:t>
      </w:r>
      <w:r>
        <w:rPr>
          <w:rFonts w:ascii="Arial" w:cs="Arial" w:eastAsia="Arial" w:hAnsi="Arial"/>
          <w:sz w:val="18"/>
          <w:szCs w:val="18"/>
          <w:color w:val="auto"/>
        </w:rPr>
        <w:t xml:space="preserve">, which will require an entity's management to assess, for each annual and interim period, whether there is substantial doubt about the entity's ability to continue as a going concern within one year of the financial statement issuance date. The definition of substantial doubt within the new standard incorporates a likelihood threshold of "probable" similar to the use of that term under current GAAP for loss contingencies. Certain disclosures will be required if conditions give rise to substantial doubt. ASU 2014-15 will be effective for the Company beginning January 1, 2017 and early adoption is permitted. The Company </w:t>
      </w:r>
      <w:r>
        <w:rPr>
          <w:rFonts w:ascii="Arial" w:cs="Arial" w:eastAsia="Arial" w:hAnsi="Arial"/>
          <w:sz w:val="18"/>
          <w:szCs w:val="18"/>
          <w:color w:val="252525"/>
        </w:rPr>
        <w:t>does not anticipate the adoption of ASU 2014-15 to have a material impact</w:t>
      </w:r>
      <w:r>
        <w:rPr>
          <w:rFonts w:ascii="Arial" w:cs="Arial" w:eastAsia="Arial" w:hAnsi="Arial"/>
          <w:sz w:val="18"/>
          <w:szCs w:val="18"/>
          <w:color w:val="auto"/>
        </w:rPr>
        <w:t xml:space="preserve"> on its financial statements.</w:t>
      </w:r>
    </w:p>
    <w:p>
      <w:pPr>
        <w:spacing w:after="0" w:line="179"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Value Commitment Initiative</w:t>
      </w:r>
    </w:p>
    <w:p>
      <w:pPr>
        <w:spacing w:after="0" w:line="12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In February 2013, the Company committed to an expansion of its Service Value Commitment initiative (the “Program”), an ongoing effort to position the Company's people, processes, and technology for sustainable long-term growth while improving the service experience of its advisors and delivering efficiencies in its operating model. The Program is expected to be completed in 2015.</w:t>
      </w:r>
    </w:p>
    <w:p>
      <w:pPr>
        <w:spacing w:after="0" w:line="195" w:lineRule="exact"/>
        <w:rPr>
          <w:sz w:val="20"/>
          <w:szCs w:val="20"/>
          <w:color w:val="auto"/>
        </w:rPr>
      </w:pPr>
    </w:p>
    <w:p>
      <w:pPr>
        <w:jc w:val="both"/>
        <w:ind w:right="60" w:firstLine="486"/>
        <w:spacing w:after="0" w:line="256" w:lineRule="auto"/>
        <w:rPr>
          <w:sz w:val="20"/>
          <w:szCs w:val="20"/>
          <w:color w:val="auto"/>
        </w:rPr>
      </w:pPr>
      <w:r>
        <w:rPr>
          <w:rFonts w:ascii="Arial" w:cs="Arial" w:eastAsia="Arial" w:hAnsi="Arial"/>
          <w:sz w:val="18"/>
          <w:szCs w:val="18"/>
          <w:color w:val="auto"/>
        </w:rPr>
        <w:t>The Company estimates total charges in connection with the Program will approach $68.0 million. These expenditures are comprised of outsourcing and other related costs, technology transformation costs, employee severance obligations, and other related costs, as well as non-cash charges for impairment of certain fixed assets related to internally developed software.</w:t>
      </w:r>
    </w:p>
    <w:p>
      <w:pPr>
        <w:spacing w:after="0" w:line="161" w:lineRule="exact"/>
        <w:rPr>
          <w:sz w:val="20"/>
          <w:szCs w:val="20"/>
          <w:color w:val="auto"/>
        </w:rPr>
      </w:pPr>
    </w:p>
    <w:p>
      <w:pPr>
        <w:jc w:val="both"/>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year ended December 31, 2014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3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Accrued Balance at</w:t>
            </w:r>
          </w:p>
        </w:tc>
        <w:tc>
          <w:tcPr>
            <w:tcW w:w="18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at December 31,</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3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Incurred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Outsourcing and other related costs</w:t>
            </w:r>
          </w:p>
        </w:tc>
        <w:tc>
          <w:tcPr>
            <w:tcW w:w="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6,207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21,488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23,500</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48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20,649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4,458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29,918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30,300</w:t>
            </w:r>
          </w:p>
        </w:tc>
      </w:tr>
      <w:tr>
        <w:trPr>
          <w:trHeight w:val="228"/>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costs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6,427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1,999</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8,885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13,400</w:t>
            </w: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48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842</w:t>
            </w:r>
          </w:p>
        </w:tc>
      </w:tr>
      <w:tr>
        <w:trPr>
          <w:trHeight w:val="24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6,457</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61,133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68,042</w:t>
            </w:r>
          </w:p>
        </w:tc>
      </w:tr>
      <w:tr>
        <w:trPr>
          <w:trHeight w:val="20"/>
        </w:trPr>
        <w:tc>
          <w:tcPr>
            <w:tcW w:w="3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41"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ind w:left="500" w:right="180"/>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94" w:lineRule="exact"/>
        <w:rPr>
          <w:sz w:val="20"/>
          <w:szCs w:val="20"/>
          <w:color w:val="auto"/>
        </w:rPr>
      </w:pPr>
    </w:p>
    <w:p>
      <w:pPr>
        <w:ind w:right="1060" w:firstLine="486"/>
        <w:spacing w:after="0" w:line="262" w:lineRule="auto"/>
        <w:rPr>
          <w:sz w:val="20"/>
          <w:szCs w:val="20"/>
          <w:color w:val="auto"/>
        </w:rPr>
      </w:pPr>
      <w:r>
        <w:rPr>
          <w:rFonts w:ascii="Arial" w:cs="Arial" w:eastAsia="Arial" w:hAnsi="Arial"/>
          <w:sz w:val="18"/>
          <w:szCs w:val="18"/>
          <w:color w:val="auto"/>
        </w:rPr>
        <w:t>There were no transfers of assets or liabilities between these fair value measurement classifications during the years ended December 31, 2014 and 2013.</w:t>
      </w:r>
    </w:p>
    <w:p>
      <w:pPr>
        <w:spacing w:after="0" w:line="196"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December 31, 2014, the Company had the following financial assets and liabilities that are measured at fair value on a recurring basis:</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 determinable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values derived from active markets.</w:t>
      </w:r>
    </w:p>
    <w:p>
      <w:pPr>
        <w:spacing w:after="0" w:line="20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2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(2) certain non-traded real estate investment trusts and auction rate notes, which are valued 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23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that are measured using Level 3 inputs.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41" w:right="27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7,570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12,087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13,466</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75,540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5,058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80,598</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110,219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6,437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116,656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254,032</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Securities owned — trading:</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7,291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47,539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50,611</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310,535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313,607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39,293</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39,504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2013, the Company had a contingent consideration obligation related to the acquisition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National Retirement Partners, Inc. ("NRP"). This obligation was based on the achievement of certain revenue-based targets for the twelve-month period ended November 30, 2013. As of December 31, 2013, the Company had finalized the determination of the amount of contingent consideration to be paid to the former shareholders of NRP, resulting in a total payment of $39.3 million, which was made on February 19, 2014.</w:t>
      </w:r>
    </w:p>
    <w:p>
      <w:pPr>
        <w:spacing w:after="0" w:line="128"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At December 31, 2014 and 2013, the Company's held-to-maturity securities consisted of U.S. government notes. The Company discloses the fair value of its securities held-to-maturity using quoted prices in active markets, which is a Level 1 fair value measurement. The amortized cost, gross unrealized loss, and fair value of securities held-to-maturity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2013</w:t>
            </w: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loss</w:t>
            </w:r>
          </w:p>
        </w:tc>
        <w:tc>
          <w:tcPr>
            <w:tcW w:w="10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40"/>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6,795</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2014,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4,983</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8,580</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500" w:right="100" w:hanging="492"/>
        <w:spacing w:after="0" w:line="287" w:lineRule="auto"/>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Product Sponsors, Broker-Dealers, and Clearing Organizations and Payables to Broker-Dealers and Clearing Organizations</w:t>
      </w:r>
    </w:p>
    <w:p>
      <w:pPr>
        <w:spacing w:after="0" w:line="121" w:lineRule="exact"/>
        <w:rPr>
          <w:sz w:val="20"/>
          <w:szCs w:val="20"/>
          <w:color w:val="auto"/>
        </w:rPr>
      </w:pPr>
    </w:p>
    <w:p>
      <w:pPr>
        <w:ind w:right="1080" w:firstLine="486"/>
        <w:spacing w:after="0" w:line="262" w:lineRule="auto"/>
        <w:rPr>
          <w:sz w:val="20"/>
          <w:szCs w:val="20"/>
          <w:color w:val="auto"/>
        </w:rPr>
      </w:pPr>
      <w:r>
        <w:rPr>
          <w:rFonts w:ascii="Arial" w:cs="Arial" w:eastAsia="Arial" w:hAnsi="Arial"/>
          <w:sz w:val="18"/>
          <w:szCs w:val="18"/>
          <w:color w:val="auto"/>
        </w:rPr>
        <w:t>Receivables from product sponsors, broker-dealers, and clearing organizations and payables to broker-dealers and clearing organizations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24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Receivables: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Commissions receivable from product sponsors and others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122,207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112,575</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Receivable from clearing organizations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38,873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49,295</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from broker-dealers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Securities failed-to-deliver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receivables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177,470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174,070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Payables: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 to clearing organizations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28,433</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Payable to broker-dealers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20,208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9,884</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failed-to-receive</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4,840</w:t>
            </w:r>
          </w:p>
        </w:tc>
        <w:tc>
          <w:tcPr>
            <w:tcW w:w="0" w:type="dxa"/>
            <w:vAlign w:val="bottom"/>
          </w:tcPr>
          <w:p>
            <w:pPr>
              <w:spacing w:after="0"/>
              <w:rPr>
                <w:sz w:val="1"/>
                <w:szCs w:val="1"/>
                <w:color w:val="auto"/>
              </w:rPr>
            </w:pPr>
          </w:p>
        </w:tc>
      </w:tr>
      <w:tr>
        <w:trPr>
          <w:trHeight w:val="237"/>
        </w:trPr>
        <w:tc>
          <w:tcPr>
            <w:tcW w:w="8800" w:type="dxa"/>
            <w:vAlign w:val="bottom"/>
          </w:tcPr>
          <w:p>
            <w:pPr>
              <w:ind w:left="360"/>
              <w:spacing w:after="0"/>
              <w:rPr>
                <w:sz w:val="20"/>
                <w:szCs w:val="20"/>
                <w:color w:val="auto"/>
              </w:rPr>
            </w:pPr>
            <w:r>
              <w:rPr>
                <w:rFonts w:ascii="Arial" w:cs="Arial" w:eastAsia="Arial" w:hAnsi="Arial"/>
                <w:sz w:val="16"/>
                <w:szCs w:val="16"/>
                <w:color w:val="auto"/>
              </w:rPr>
              <w:t>Total payables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45,427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43,157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Fixed Assets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fixed assets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Internally developed software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259,335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232,448</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95,846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89,259</w:t>
            </w: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Computers and software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95,406</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86,163</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Furniture and equipment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47,658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37,868</w:t>
            </w: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6,642</w:t>
            </w:r>
          </w:p>
        </w:tc>
      </w:tr>
      <w:tr>
        <w:trPr>
          <w:trHeight w:val="247"/>
        </w:trPr>
        <w:tc>
          <w:tcPr>
            <w:tcW w:w="8360" w:type="dxa"/>
            <w:vAlign w:val="bottom"/>
          </w:tcPr>
          <w:p>
            <w:pPr>
              <w:ind w:left="200"/>
              <w:spacing w:after="0"/>
              <w:rPr>
                <w:sz w:val="20"/>
                <w:szCs w:val="20"/>
                <w:color w:val="auto"/>
              </w:rPr>
            </w:pPr>
            <w:r>
              <w:rPr>
                <w:rFonts w:ascii="Arial" w:cs="Arial" w:eastAsia="Arial" w:hAnsi="Arial"/>
                <w:sz w:val="16"/>
                <w:szCs w:val="16"/>
                <w:color w:val="auto"/>
              </w:rPr>
              <w:t>Total fixed assets</w:t>
            </w: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502,988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452,380</w:t>
            </w:r>
          </w:p>
        </w:tc>
      </w:tr>
      <w:tr>
        <w:trPr>
          <w:trHeight w:val="27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(288,834)</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(263,321)</w:t>
            </w:r>
          </w:p>
        </w:tc>
      </w:tr>
      <w:tr>
        <w:trPr>
          <w:trHeight w:val="240"/>
        </w:trPr>
        <w:tc>
          <w:tcPr>
            <w:tcW w:w="8360" w:type="dxa"/>
            <w:vAlign w:val="bottom"/>
          </w:tcPr>
          <w:p>
            <w:pPr>
              <w:ind w:left="40"/>
              <w:spacing w:after="0"/>
              <w:rPr>
                <w:sz w:val="20"/>
                <w:szCs w:val="20"/>
                <w:color w:val="auto"/>
              </w:rPr>
            </w:pPr>
            <w:r>
              <w:rPr>
                <w:rFonts w:ascii="Arial" w:cs="Arial" w:eastAsia="Arial" w:hAnsi="Arial"/>
                <w:sz w:val="16"/>
                <w:szCs w:val="16"/>
                <w:color w:val="auto"/>
              </w:rPr>
              <w:t>Fixed assets, net</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214,154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189,059</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Depreciation and amortization expense was $58.0 million, $44.5 million, and $32.3 million for the years ended December 31, 2014, 2013, and 2012, respectively.</w:t>
      </w:r>
    </w:p>
    <w:p>
      <w:pPr>
        <w:spacing w:after="0" w:line="282"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r>
      <w:tr>
        <w:trPr>
          <w:trHeight w:val="237"/>
        </w:trPr>
        <w:tc>
          <w:tcPr>
            <w:tcW w:w="10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Closure of NestWise</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(10,162)</w:t>
            </w:r>
          </w:p>
        </w:tc>
      </w:tr>
      <w:tr>
        <w:trPr>
          <w:trHeight w:val="24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1,361,361</w:t>
            </w:r>
          </w:p>
        </w:tc>
      </w:tr>
      <w:tr>
        <w:trPr>
          <w:trHeight w:val="237"/>
        </w:trPr>
        <w:tc>
          <w:tcPr>
            <w:tcW w:w="100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Goodwill acquired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4,477</w:t>
            </w:r>
          </w:p>
        </w:tc>
      </w:tr>
      <w:tr>
        <w:trPr>
          <w:trHeight w:val="24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r>
      <w:tr>
        <w:trPr>
          <w:trHeight w:val="20"/>
        </w:trPr>
        <w:tc>
          <w:tcPr>
            <w:tcW w:w="10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0" w:right="140" w:firstLine="486"/>
        <w:spacing w:after="0" w:line="254" w:lineRule="auto"/>
        <w:rPr>
          <w:sz w:val="20"/>
          <w:szCs w:val="20"/>
          <w:color w:val="auto"/>
        </w:rPr>
      </w:pPr>
      <w:r>
        <w:rPr>
          <w:rFonts w:ascii="Arial" w:cs="Arial" w:eastAsia="Arial" w:hAnsi="Arial"/>
          <w:sz w:val="18"/>
          <w:szCs w:val="18"/>
          <w:color w:val="auto"/>
        </w:rPr>
        <w:t>In 2014, the Company purchased certain intangible assets of a third party, which included $4.5 million in goodwill and $5.1 million in other intangible assets. During 2013, in conjunction with the closure of our former subsidiary, NestWise, certain assets of NestWise, including goodwill, were determined to have no future economic benefit. Accordingly, the Company derecognized $10.2 million of goodwill held at NestWise, which is included within other expenses in the consolidated statements of income.</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were as follows at December 31, 2014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10.9</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440,533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(195,835)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244,698</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234,086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(101,377)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132,709</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12,598</w:t>
            </w: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7.3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880</w:t>
            </w:r>
          </w:p>
        </w:tc>
      </w:tr>
      <w:tr>
        <w:trPr>
          <w:trHeight w:val="28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696,039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(305,154)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390,885</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430,704</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4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were as follows at December 31, 2013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Average Life</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rPr>
              <w:t>Net</w:t>
            </w:r>
          </w:p>
        </w:tc>
      </w:tr>
      <w:tr>
        <w:trPr>
          <w:trHeight w:val="189"/>
        </w:trPr>
        <w:tc>
          <w:tcPr>
            <w:tcW w:w="5500" w:type="dxa"/>
            <w:vAlign w:val="bottom"/>
          </w:tcPr>
          <w:p>
            <w:pPr>
              <w:spacing w:after="0"/>
              <w:rPr>
                <w:sz w:val="16"/>
                <w:szCs w:val="16"/>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50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 years)</w:t>
            </w:r>
          </w:p>
        </w:tc>
        <w:tc>
          <w:tcPr>
            <w:tcW w:w="22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Value</w:t>
            </w:r>
          </w:p>
        </w:tc>
        <w:tc>
          <w:tcPr>
            <w:tcW w:w="16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9"/>
                <w:szCs w:val="19"/>
                <w:color w:val="auto"/>
              </w:rPr>
            </w:pPr>
          </w:p>
        </w:tc>
        <w:tc>
          <w:tcPr>
            <w:tcW w:w="114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55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13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Advisor and financial institution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439,762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268,309</w:t>
            </w:r>
          </w:p>
        </w:tc>
      </w:tr>
      <w:tr>
        <w:trPr>
          <w:trHeight w:val="260"/>
        </w:trPr>
        <w:tc>
          <w:tcPr>
            <w:tcW w:w="5500" w:type="dxa"/>
            <w:vAlign w:val="bottom"/>
          </w:tcPr>
          <w:p>
            <w:pPr>
              <w:ind w:left="180"/>
              <w:spacing w:after="0"/>
              <w:rPr>
                <w:sz w:val="20"/>
                <w:szCs w:val="20"/>
                <w:color w:val="auto"/>
              </w:rPr>
            </w:pPr>
            <w:r>
              <w:rPr>
                <w:rFonts w:ascii="Arial" w:cs="Arial" w:eastAsia="Arial" w:hAnsi="Arial"/>
                <w:sz w:val="16"/>
                <w:szCs w:val="16"/>
                <w:color w:val="auto"/>
              </w:rPr>
              <w:t>Product sponsor relationships</w:t>
            </w:r>
          </w:p>
        </w:tc>
        <w:tc>
          <w:tcPr>
            <w:tcW w:w="1360" w:type="dxa"/>
            <w:vAlign w:val="bottom"/>
          </w:tcPr>
          <w:p>
            <w:pPr>
              <w:jc w:val="center"/>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230,916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(88,751)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142,165</w:t>
            </w:r>
          </w:p>
        </w:tc>
      </w:tr>
      <w:tr>
        <w:trPr>
          <w:trHeight w:val="280"/>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Client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13,229</w:t>
            </w:r>
          </w:p>
        </w:tc>
      </w:tr>
      <w:tr>
        <w:trPr>
          <w:trHeight w:val="264"/>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Trade names</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8.3</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w:t>
            </w:r>
          </w:p>
        </w:tc>
      </w:tr>
      <w:tr>
        <w:trPr>
          <w:trHeight w:val="28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690,988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(266,285)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424,703</w:t>
            </w:r>
          </w:p>
        </w:tc>
      </w:tr>
      <w:tr>
        <w:trPr>
          <w:trHeight w:val="217"/>
        </w:trPr>
        <w:tc>
          <w:tcPr>
            <w:tcW w:w="55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73"/>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 and trade name</w:t>
            </w: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39,819</w:t>
            </w:r>
          </w:p>
        </w:tc>
      </w:tr>
      <w:tr>
        <w:trPr>
          <w:trHeight w:val="240"/>
        </w:trPr>
        <w:tc>
          <w:tcPr>
            <w:tcW w:w="5500" w:type="dxa"/>
            <w:vAlign w:val="bottom"/>
          </w:tcPr>
          <w:p>
            <w:pPr>
              <w:ind w:left="380"/>
              <w:spacing w:after="0"/>
              <w:rPr>
                <w:sz w:val="20"/>
                <w:szCs w:val="20"/>
                <w:color w:val="auto"/>
              </w:rPr>
            </w:pPr>
            <w:r>
              <w:rPr>
                <w:rFonts w:ascii="Arial" w:cs="Arial" w:eastAsia="Arial" w:hAnsi="Arial"/>
                <w:sz w:val="16"/>
                <w:szCs w:val="16"/>
                <w:color w:val="auto"/>
              </w:rPr>
              <w:t>Total intangible assets</w:t>
            </w: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464,522</w:t>
            </w:r>
          </w:p>
        </w:tc>
      </w:tr>
      <w:tr>
        <w:trPr>
          <w:trHeight w:val="20"/>
        </w:trPr>
        <w:tc>
          <w:tcPr>
            <w:tcW w:w="5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auto"/>
        </w:rPr>
        <w:t>Total amortization expense of intangible assets was $38.9 million, $39.0 million, and $ 39.5 million for the years ended December 31, 2014, 2013, and 2012, respectively. Future amortization expense is estimated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38,288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2016</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38,161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37,276</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34,833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34,768</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207,559</w:t>
            </w:r>
          </w:p>
        </w:tc>
      </w:tr>
      <w:tr>
        <w:trPr>
          <w:trHeight w:val="24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390,885</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93"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60"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To mitigate foreign currency risk arising from these annual anniversary events, the Company entered into four non-deliverable foreign currency contracts, all of which have been designated as cash flow hedges. The first cash flow hedge, with a notional amount of 560.4 million INR, or $8.5 million, settled in June 2014. The Company received a settlement of $1.0 million that will be reclassified out of accumulated other comprehensive income and recognized in net income ratably over a 12-month period ending May 31, 2015 to match the timing of the underlying hedged item.</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related to the non-deliverable foreign currency contracts at December 31, 2014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Hedged Notional Amount</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Hedged Notional Amount</w:t>
            </w:r>
          </w:p>
        </w:tc>
      </w:tr>
      <w:tr>
        <w:trPr>
          <w:trHeight w:val="162"/>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(INR)</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Contractual INR/USD</w:t>
            </w:r>
          </w:p>
        </w:tc>
        <w:tc>
          <w:tcPr>
            <w:tcW w:w="360" w:type="dxa"/>
            <w:vAlign w:val="bottom"/>
          </w:tcPr>
          <w:p>
            <w:pPr>
              <w:spacing w:after="0"/>
              <w:rPr>
                <w:sz w:val="14"/>
                <w:szCs w:val="14"/>
                <w:color w:val="auto"/>
              </w:rPr>
            </w:pPr>
          </w:p>
        </w:tc>
        <w:tc>
          <w:tcPr>
            <w:tcW w:w="1580" w:type="dxa"/>
            <w:vAlign w:val="bottom"/>
          </w:tcPr>
          <w:p>
            <w:pPr>
              <w:jc w:val="center"/>
              <w:ind w:right="262"/>
              <w:spacing w:after="0"/>
              <w:rPr>
                <w:sz w:val="20"/>
                <w:szCs w:val="20"/>
                <w:color w:val="auto"/>
              </w:rPr>
            </w:pPr>
            <w:r>
              <w:rPr>
                <w:rFonts w:ascii="Arial" w:cs="Arial" w:eastAsia="Arial" w:hAnsi="Arial"/>
                <w:sz w:val="14"/>
                <w:szCs w:val="14"/>
                <w:b w:val="1"/>
                <w:bCs w:val="1"/>
                <w:color w:val="auto"/>
              </w:rPr>
              <w:t>(USD)</w:t>
            </w:r>
          </w:p>
        </w:tc>
      </w:tr>
      <w:tr>
        <w:trPr>
          <w:trHeight w:val="196"/>
        </w:trPr>
        <w:tc>
          <w:tcPr>
            <w:tcW w:w="390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Foreign Exchange Rate</w:t>
            </w:r>
          </w:p>
        </w:tc>
        <w:tc>
          <w:tcPr>
            <w:tcW w:w="360" w:type="dxa"/>
            <w:vAlign w:val="bottom"/>
          </w:tcPr>
          <w:p>
            <w:pPr>
              <w:spacing w:after="0"/>
              <w:rPr>
                <w:sz w:val="17"/>
                <w:szCs w:val="17"/>
                <w:color w:val="auto"/>
              </w:rPr>
            </w:pPr>
          </w:p>
        </w:tc>
        <w:tc>
          <w:tcPr>
            <w:tcW w:w="1580" w:type="dxa"/>
            <w:vAlign w:val="bottom"/>
          </w:tcPr>
          <w:p>
            <w:pPr>
              <w:jc w:val="center"/>
              <w:ind w:right="262"/>
              <w:spacing w:after="0"/>
              <w:rPr>
                <w:sz w:val="20"/>
                <w:szCs w:val="20"/>
                <w:color w:val="auto"/>
              </w:rPr>
            </w:pPr>
            <w:r>
              <w:rPr>
                <w:rFonts w:ascii="Arial" w:cs="Arial" w:eastAsia="Arial" w:hAnsi="Arial"/>
                <w:sz w:val="14"/>
                <w:szCs w:val="14"/>
                <w:i w:val="1"/>
                <w:iCs w:val="1"/>
                <w:color w:val="auto"/>
              </w:rPr>
              <w:t>(in millions)</w:t>
            </w:r>
          </w:p>
        </w:tc>
      </w:tr>
      <w:tr>
        <w:trPr>
          <w:trHeight w:val="256"/>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hedge #2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6/2/2015</w:t>
            </w:r>
          </w:p>
        </w:tc>
        <w:tc>
          <w:tcPr>
            <w:tcW w:w="12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69.35</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8.1</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2"/>
                <w:szCs w:val="22"/>
                <w:color w:val="auto"/>
              </w:rPr>
            </w:pPr>
          </w:p>
        </w:tc>
        <w:tc>
          <w:tcPr>
            <w:tcW w:w="1940" w:type="dxa"/>
            <w:vAlign w:val="bottom"/>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2"/>
                <w:szCs w:val="22"/>
                <w:color w:val="auto"/>
              </w:rPr>
            </w:pPr>
          </w:p>
        </w:tc>
        <w:tc>
          <w:tcPr>
            <w:tcW w:w="1940" w:type="dxa"/>
            <w:vAlign w:val="bottom"/>
          </w:tcPr>
          <w:p>
            <w:pPr>
              <w:jc w:val="right"/>
              <w:ind w:right="23"/>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7.8</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23.4</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fair value of the derivative instruments, included in other assets in the consolidated statements of financial condition, were as follows (in thousands):</w:t>
      </w:r>
    </w:p>
    <w:p>
      <w:pPr>
        <w:spacing w:after="0" w:line="152"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bl>
    <w:p>
      <w:pPr>
        <w:spacing w:after="0" w:line="1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Accounts Payable and Accrued Liabilities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liabilities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257"/>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56,776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59,299</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Accrued payroll</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66,816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73,135</w:t>
            </w: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Contingent consideration obligations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39,436</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Advisor deferred compensation plan liability</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72,763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45,461</w:t>
            </w:r>
          </w:p>
        </w:tc>
      </w:tr>
      <w:tr>
        <w:trPr>
          <w:trHeight w:val="280"/>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rent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48,629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35,156</w:t>
            </w:r>
          </w:p>
        </w:tc>
      </w:tr>
      <w:tr>
        <w:trPr>
          <w:trHeight w:val="264"/>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43,915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49,157</w:t>
            </w:r>
          </w:p>
        </w:tc>
      </w:tr>
      <w:tr>
        <w:trPr>
          <w:trHeight w:val="24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accounts payable and accrued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289,426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301,644</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ind w:right="260" w:firstLine="486"/>
        <w:spacing w:after="0" w:line="269" w:lineRule="auto"/>
        <w:rPr>
          <w:sz w:val="20"/>
          <w:szCs w:val="20"/>
          <w:color w:val="auto"/>
        </w:rPr>
      </w:pPr>
      <w:r>
        <w:rPr>
          <w:rFonts w:ascii="Arial" w:cs="Arial" w:eastAsia="Arial" w:hAnsi="Arial"/>
          <w:sz w:val="18"/>
          <w:szCs w:val="18"/>
          <w:b w:val="1"/>
          <w:bCs w:val="1"/>
          <w:color w:val="auto"/>
        </w:rPr>
        <w:t xml:space="preserve">Senior Secured Credit Facilities — </w:t>
      </w:r>
      <w:r>
        <w:rPr>
          <w:rFonts w:ascii="Arial" w:cs="Arial" w:eastAsia="Arial" w:hAnsi="Arial"/>
          <w:sz w:val="18"/>
          <w:szCs w:val="18"/>
          <w:color w:val="auto"/>
        </w:rPr>
        <w:t>On October 1, 2014, the Company entered into the Second Amendment, Extension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Assumption Agreement (“Credit Agreement”) with its wholly owned subsidiary, LPL Holdings, Inc., the other parties thereto. The Credit Agreement amends the Company's previous credit agreement, which was dated May 13, 2013.</w:t>
      </w:r>
    </w:p>
    <w:p>
      <w:pPr>
        <w:spacing w:after="0" w:line="177"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The Credit Agreement includes a term loan A (“Term Loan A”), a term loan B (“Term Loan B”), and a revolving credit facility (“Revolving Credit Facility”). This agreement amends the Term Loan A and Revolving Credit Facility maturity date to September 30, 2019 from March 29, 2017, and the Revolving Credit Facility borrowing capacity to $400.0 million from $250.0 million.</w:t>
      </w:r>
    </w:p>
    <w:p>
      <w:pPr>
        <w:spacing w:after="0" w:line="195" w:lineRule="exact"/>
        <w:rPr>
          <w:sz w:val="20"/>
          <w:szCs w:val="20"/>
          <w:color w:val="auto"/>
        </w:rPr>
      </w:pPr>
    </w:p>
    <w:p>
      <w:pPr>
        <w:ind w:right="220" w:firstLine="486"/>
        <w:spacing w:after="0" w:line="254" w:lineRule="auto"/>
        <w:rPr>
          <w:sz w:val="20"/>
          <w:szCs w:val="20"/>
          <w:color w:val="auto"/>
        </w:rPr>
      </w:pPr>
      <w:r>
        <w:rPr>
          <w:rFonts w:ascii="Arial" w:cs="Arial" w:eastAsia="Arial" w:hAnsi="Arial"/>
          <w:sz w:val="18"/>
          <w:szCs w:val="18"/>
          <w:color w:val="auto"/>
        </w:rPr>
        <w:t>In connection with the execution of the Credit Agreement, the Company incurred $ 4.9 million in costs, which are capitalized as debt issuance costs in the consolidated statements of financial condition, and accelerated the recognition of $ 3.9 million of unamortized costs attributable to Term Loan A related to the previous credit agreement, which has been recorded as a loss on extinguishment of debt within the consolidated statements of income for the year ended December 31, 2014.</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At the time the Company entered into the Credit Agreement, all mandatory payments required under Term Loan A had been prepaid, with the remaining principal and accrued interest due upon maturity. Term Loan B includes quarterly payments at an annual rate of 1.0% of principal per year, with the remaining principal and accrued interest due upon maturity.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4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2013</w:t>
            </w:r>
          </w:p>
        </w:tc>
      </w:tr>
      <w:tr>
        <w:trPr>
          <w:trHeight w:val="198"/>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Balance</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Balance</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Rate</w:t>
            </w:r>
          </w:p>
        </w:tc>
      </w:tr>
      <w:tr>
        <w:trPr>
          <w:trHeight w:val="257"/>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Revolving Credit Facility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4780" w:type="dxa"/>
            <w:vAlign w:val="bottom"/>
            <w:gridSpan w:val="2"/>
          </w:tcPr>
          <w:p>
            <w:pPr>
              <w:ind w:left="80"/>
              <w:spacing w:after="0"/>
              <w:rPr>
                <w:sz w:val="20"/>
                <w:szCs w:val="20"/>
                <w:color w:val="auto"/>
              </w:rPr>
            </w:pPr>
            <w:r>
              <w:rPr>
                <w:rFonts w:ascii="Arial" w:cs="Arial" w:eastAsia="Arial" w:hAnsi="Arial"/>
                <w:sz w:val="16"/>
                <w:szCs w:val="16"/>
                <w:color w:val="auto"/>
              </w:rPr>
              <w:t>Senior secured term loans: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8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Term Loan 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459,375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459,375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64"/>
        </w:trPr>
        <w:tc>
          <w:tcPr>
            <w:tcW w:w="4780" w:type="dxa"/>
            <w:vAlign w:val="bottom"/>
            <w:gridSpan w:val="2"/>
          </w:tcPr>
          <w:p>
            <w:pPr>
              <w:ind w:left="420"/>
              <w:spacing w:after="0"/>
              <w:rPr>
                <w:sz w:val="20"/>
                <w:szCs w:val="20"/>
                <w:color w:val="auto"/>
              </w:rPr>
            </w:pPr>
            <w:r>
              <w:rPr>
                <w:rFonts w:ascii="Arial" w:cs="Arial" w:eastAsia="Arial" w:hAnsi="Arial"/>
                <w:sz w:val="16"/>
                <w:szCs w:val="16"/>
                <w:color w:val="auto"/>
              </w:rPr>
              <w:t>Term Loan B</w:t>
            </w:r>
          </w:p>
        </w:tc>
        <w:tc>
          <w:tcPr>
            <w:tcW w:w="1180" w:type="dxa"/>
            <w:vAlign w:val="bottom"/>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1,064,883</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1,075,721</w:t>
            </w:r>
          </w:p>
        </w:tc>
        <w:tc>
          <w:tcPr>
            <w:tcW w:w="1500" w:type="dxa"/>
            <w:vAlign w:val="bottom"/>
            <w:gridSpan w:val="3"/>
          </w:tcPr>
          <w:p>
            <w:pPr>
              <w:jc w:val="right"/>
              <w:spacing w:after="0"/>
              <w:rPr>
                <w:sz w:val="20"/>
                <w:szCs w:val="20"/>
                <w:color w:val="auto"/>
              </w:rPr>
            </w:pPr>
            <w:r>
              <w:rPr>
                <w:rFonts w:ascii="Arial" w:cs="Arial" w:eastAsia="Arial" w:hAnsi="Arial"/>
                <w:sz w:val="16"/>
                <w:szCs w:val="16"/>
                <w:color w:val="auto"/>
              </w:rPr>
              <w:t>3.25%</w:t>
            </w:r>
          </w:p>
        </w:tc>
      </w:tr>
      <w:tr>
        <w:trPr>
          <w:trHeight w:val="257"/>
        </w:trPr>
        <w:tc>
          <w:tcPr>
            <w:tcW w:w="4780" w:type="dxa"/>
            <w:vAlign w:val="bottom"/>
            <w:tcBorders>
              <w:top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Total borrowings</w:t>
            </w:r>
          </w:p>
        </w:tc>
        <w:tc>
          <w:tcPr>
            <w:tcW w:w="1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1,634,258</w:t>
            </w: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1,535,096</w:t>
            </w: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CCEEFF"/>
            </w:tcBorders>
            <w:shd w:val="clear" w:color="auto" w:fill="CCEEFF"/>
          </w:tcPr>
          <w:p>
            <w:pPr>
              <w:spacing w:after="0"/>
              <w:rPr>
                <w:sz w:val="22"/>
                <w:szCs w:val="22"/>
                <w:color w:val="auto"/>
              </w:rPr>
            </w:pPr>
          </w:p>
        </w:tc>
      </w:tr>
      <w:tr>
        <w:trPr>
          <w:trHeight w:val="264"/>
        </w:trPr>
        <w:tc>
          <w:tcPr>
            <w:tcW w:w="47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Less current portion</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120,839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4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1,513,419</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1,524,257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20" w:firstLine="486"/>
        <w:spacing w:after="0" w:line="262" w:lineRule="auto"/>
        <w:rPr>
          <w:sz w:val="20"/>
          <w:szCs w:val="20"/>
          <w:color w:val="auto"/>
        </w:rPr>
      </w:pPr>
      <w:r>
        <w:rPr>
          <w:rFonts w:ascii="Arial" w:cs="Arial" w:eastAsia="Arial" w:hAnsi="Arial"/>
          <w:sz w:val="18"/>
          <w:szCs w:val="18"/>
          <w:color w:val="auto"/>
        </w:rPr>
        <w:t>As of December 31, 2014, the Company had $21.5 million of irrevocable letters of credit, with an applicable interest rate margin of 2.50%, which were supported by the Revolving Credit Facility.</w:t>
      </w:r>
    </w:p>
    <w:p>
      <w:pPr>
        <w:spacing w:after="0" w:line="196"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December 31, 2014, the Company was in compliance with such covenants.</w:t>
      </w:r>
    </w:p>
    <w:p>
      <w:pPr>
        <w:spacing w:after="0" w:line="228"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$200.0 million limit and allows for both collateralized and uncollateralized borrowings. The lines were not utilized in 2014, but were utilized in 2013; however, there were no balances outstanding at December 31, 2014 or 2013.</w:t>
      </w:r>
    </w:p>
    <w:p>
      <w:pPr>
        <w:spacing w:after="0" w:line="9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December 31, 2014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2015</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120,839</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2016</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10,839</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19,452</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45,292</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1,437,836</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1,634,258</w:t>
            </w:r>
          </w:p>
        </w:tc>
      </w:tr>
      <w:tr>
        <w:trPr>
          <w:trHeight w:val="20"/>
        </w:trPr>
        <w:tc>
          <w:tcPr>
            <w:tcW w:w="9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provision for income taxes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60"/>
        </w:trPr>
        <w:tc>
          <w:tcPr>
            <w:tcW w:w="7440" w:type="dxa"/>
            <w:vAlign w:val="bottom"/>
          </w:tcPr>
          <w:p>
            <w:pPr>
              <w:ind w:left="40"/>
              <w:spacing w:after="0"/>
              <w:rPr>
                <w:sz w:val="20"/>
                <w:szCs w:val="20"/>
                <w:color w:val="auto"/>
              </w:rPr>
            </w:pPr>
            <w:r>
              <w:rPr>
                <w:rFonts w:ascii="Arial" w:cs="Arial" w:eastAsia="Arial" w:hAnsi="Arial"/>
                <w:sz w:val="16"/>
                <w:szCs w:val="16"/>
                <w:color w:val="auto"/>
              </w:rPr>
              <w:t>Current provision:</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120,995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119,327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96,983</w:t>
            </w:r>
          </w:p>
        </w:tc>
      </w:tr>
      <w:tr>
        <w:trPr>
          <w:trHeight w:val="264"/>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19,759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19,062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13,909</w:t>
            </w:r>
          </w:p>
        </w:tc>
      </w:tr>
      <w:tr>
        <w:trPr>
          <w:trHeight w:val="25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provision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140,754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138,389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110,892</w:t>
            </w:r>
          </w:p>
        </w:tc>
      </w:tr>
      <w:tr>
        <w:trPr>
          <w:trHeight w:val="254"/>
        </w:trPr>
        <w:tc>
          <w:tcPr>
            <w:tcW w:w="7440" w:type="dxa"/>
            <w:vAlign w:val="bottom"/>
          </w:tcPr>
          <w:p>
            <w:pPr>
              <w:ind w:left="40"/>
              <w:spacing w:after="0"/>
              <w:rPr>
                <w:sz w:val="20"/>
                <w:szCs w:val="20"/>
                <w:color w:val="auto"/>
              </w:rPr>
            </w:pPr>
            <w:r>
              <w:rPr>
                <w:rFonts w:ascii="Arial" w:cs="Arial" w:eastAsia="Arial" w:hAnsi="Arial"/>
                <w:sz w:val="16"/>
                <w:szCs w:val="16"/>
                <w:color w:val="auto"/>
              </w:rPr>
              <w:t>Deferred benefit:</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7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(11,137)</w:t>
            </w:r>
          </w:p>
        </w:tc>
      </w:tr>
      <w:tr>
        <w:trPr>
          <w:trHeight w:val="264"/>
        </w:trPr>
        <w:tc>
          <w:tcPr>
            <w:tcW w:w="74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State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r>
      <w:tr>
        <w:trPr>
          <w:trHeight w:val="25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deferred benefit</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(12,219)</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116,654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109,446</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98,673</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1"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rates to the Company’s effective income tax rates is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326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Years Ended December 31,</w:t>
            </w:r>
          </w:p>
        </w:tc>
        <w:tc>
          <w:tcPr>
            <w:tcW w:w="960" w:type="dxa"/>
            <w:vAlign w:val="bottom"/>
            <w:tcBorders>
              <w:bottom w:val="single" w:sz="8" w:color="auto"/>
            </w:tcBorders>
          </w:tcPr>
          <w:p>
            <w:pPr>
              <w:spacing w:after="0"/>
              <w:rPr>
                <w:sz w:val="19"/>
                <w:szCs w:val="19"/>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statutory income tax rates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State income taxes, net of federal benefit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3.3</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Non-deductible expenses</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Business energy tax credit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Transaction costs</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2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0.1</w:t>
            </w:r>
          </w:p>
        </w:tc>
      </w:tr>
      <w:tr>
        <w:trPr>
          <w:trHeight w:val="280"/>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 derecognition</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7200" w:type="dxa"/>
            <w:vAlign w:val="bottom"/>
          </w:tcPr>
          <w:p>
            <w:pPr>
              <w:ind w:left="200"/>
              <w:spacing w:after="0"/>
              <w:rPr>
                <w:sz w:val="20"/>
                <w:szCs w:val="20"/>
                <w:color w:val="auto"/>
              </w:rPr>
            </w:pPr>
            <w:r>
              <w:rPr>
                <w:rFonts w:ascii="Arial" w:cs="Arial" w:eastAsia="Arial" w:hAnsi="Arial"/>
                <w:sz w:val="16"/>
                <w:szCs w:val="16"/>
                <w:color w:val="auto"/>
              </w:rPr>
              <w:t>Contingent consideration obligations</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(0.7)</w:t>
            </w:r>
          </w:p>
        </w:tc>
      </w:tr>
      <w:tr>
        <w:trPr>
          <w:trHeight w:val="273"/>
        </w:trPr>
        <w:tc>
          <w:tcPr>
            <w:tcW w:w="7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r>
      <w:tr>
        <w:trPr>
          <w:trHeight w:val="240"/>
        </w:trPr>
        <w:tc>
          <w:tcPr>
            <w:tcW w:w="7200" w:type="dxa"/>
            <w:vAlign w:val="bottom"/>
          </w:tcPr>
          <w:p>
            <w:pPr>
              <w:ind w:left="40"/>
              <w:spacing w:after="0"/>
              <w:rPr>
                <w:sz w:val="20"/>
                <w:szCs w:val="20"/>
                <w:color w:val="auto"/>
              </w:rPr>
            </w:pPr>
            <w:r>
              <w:rPr>
                <w:rFonts w:ascii="Arial" w:cs="Arial" w:eastAsia="Arial" w:hAnsi="Arial"/>
                <w:sz w:val="16"/>
                <w:szCs w:val="16"/>
                <w:color w:val="auto"/>
              </w:rPr>
              <w:t>Effective income tax rates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39.6 %</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39.4 %</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The Company's 2013 effective tax rate and income tax expense was lower primarily due to a release of the valuation allowance and utilization of a business energy tax credit.</w:t>
      </w:r>
    </w:p>
    <w:p>
      <w:pPr>
        <w:spacing w:after="0" w:line="304"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The components of the net deferred income taxes included in the consolidated statements of financial condition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2013</w:t>
            </w: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39,265</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24,537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19,442</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8,447</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2,337</w:t>
            </w: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Provision for bad debts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3,110</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Net operating losses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1,594</w:t>
            </w:r>
          </w:p>
        </w:tc>
      </w:tr>
      <w:tr>
        <w:trPr>
          <w:trHeight w:val="273"/>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1,788</w:t>
            </w:r>
          </w:p>
        </w:tc>
      </w:tr>
      <w:tr>
        <w:trPr>
          <w:trHeight w:val="237"/>
        </w:trPr>
        <w:tc>
          <w:tcPr>
            <w:tcW w:w="8800" w:type="dxa"/>
            <w:vAlign w:val="bottom"/>
          </w:tcPr>
          <w:p>
            <w:pPr>
              <w:ind w:left="360"/>
              <w:spacing w:after="0"/>
              <w:rPr>
                <w:sz w:val="20"/>
                <w:szCs w:val="20"/>
                <w:color w:val="auto"/>
              </w:rPr>
            </w:pPr>
            <w:r>
              <w:rPr>
                <w:rFonts w:ascii="Arial" w:cs="Arial" w:eastAsia="Arial" w:hAnsi="Arial"/>
                <w:sz w:val="16"/>
                <w:szCs w:val="16"/>
                <w:color w:val="auto"/>
              </w:rPr>
              <w:t>Total deferred tax assets</w:t>
            </w: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103,066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75,983</w:t>
            </w:r>
          </w:p>
        </w:tc>
      </w:tr>
      <w:tr>
        <w:trPr>
          <w:trHeight w:val="280"/>
        </w:trPr>
        <w:tc>
          <w:tcPr>
            <w:tcW w:w="88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0"/>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(144,392)</w:t>
            </w:r>
          </w:p>
        </w:tc>
      </w:tr>
      <w:tr>
        <w:trPr>
          <w:trHeight w:val="260"/>
        </w:trPr>
        <w:tc>
          <w:tcPr>
            <w:tcW w:w="8800" w:type="dxa"/>
            <w:vAlign w:val="bottom"/>
          </w:tcPr>
          <w:p>
            <w:pPr>
              <w:ind w:left="200"/>
              <w:spacing w:after="0"/>
              <w:rPr>
                <w:sz w:val="20"/>
                <w:szCs w:val="20"/>
                <w:color w:val="auto"/>
              </w:rPr>
            </w:pPr>
            <w:r>
              <w:rPr>
                <w:rFonts w:ascii="Arial" w:cs="Arial" w:eastAsia="Arial" w:hAnsi="Arial"/>
                <w:sz w:val="16"/>
                <w:szCs w:val="16"/>
                <w:color w:val="auto"/>
              </w:rPr>
              <w:t>Depreciation of fixed assets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(20,888)</w:t>
            </w:r>
          </w:p>
        </w:tc>
      </w:tr>
      <w:tr>
        <w:trPr>
          <w:trHeight w:val="273"/>
        </w:trPr>
        <w:tc>
          <w:tcPr>
            <w:tcW w:w="8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50"/>
        </w:trPr>
        <w:tc>
          <w:tcPr>
            <w:tcW w:w="8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deferred tax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(165,352)</w:t>
            </w:r>
          </w:p>
        </w:tc>
      </w:tr>
      <w:tr>
        <w:trPr>
          <w:trHeight w:val="25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(89,369)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60" w:firstLine="378"/>
        <w:spacing w:after="0" w:line="253" w:lineRule="auto"/>
        <w:rPr>
          <w:sz w:val="20"/>
          <w:szCs w:val="20"/>
          <w:color w:val="auto"/>
        </w:rPr>
      </w:pPr>
      <w:r>
        <w:rPr>
          <w:rFonts w:ascii="Arial" w:cs="Arial" w:eastAsia="Arial" w:hAnsi="Arial"/>
          <w:sz w:val="18"/>
          <w:szCs w:val="18"/>
          <w:color w:val="auto"/>
        </w:rPr>
        <w:t>The table of deferred tax assets and liabilities shown above does not include certain carryforwards related to federal and state net operating losses and other federal credits that arose directly from tax deductions related to equity compensation in excess of share-based compensation recognized for financial reporting. To the extent that the Company utilizes all of these tax attributes in the future to reduce income taxes payable, the Company will record an increase to additional paid-in capital of $2.6 million. The Company uses “with and without ordering” for purposes of determining when excess tax benefits have been realized.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4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following table reflects a reconciliation of the beginning and ending balances of the total amounts of gross unrecognized tax benefits, including interest and penalties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57"/>
        </w:trPr>
        <w:tc>
          <w:tcPr>
            <w:tcW w:w="7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Balance — Beginning of year</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20,120</w:t>
            </w:r>
          </w:p>
        </w:tc>
      </w:tr>
      <w:tr>
        <w:trPr>
          <w:trHeight w:val="260"/>
        </w:trPr>
        <w:tc>
          <w:tcPr>
            <w:tcW w:w="7440" w:type="dxa"/>
            <w:vAlign w:val="bottom"/>
          </w:tcPr>
          <w:p>
            <w:pPr>
              <w:ind w:left="260"/>
              <w:spacing w:after="0"/>
              <w:rPr>
                <w:sz w:val="20"/>
                <w:szCs w:val="20"/>
                <w:color w:val="auto"/>
              </w:rPr>
            </w:pPr>
            <w:r>
              <w:rPr>
                <w:rFonts w:ascii="Arial" w:cs="Arial" w:eastAsia="Arial" w:hAnsi="Arial"/>
                <w:sz w:val="16"/>
                <w:szCs w:val="16"/>
                <w:color w:val="auto"/>
              </w:rPr>
              <w:t>Increases for tax positions related to the current year</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3,296</w:t>
            </w:r>
          </w:p>
        </w:tc>
      </w:tr>
      <w:tr>
        <w:trPr>
          <w:trHeight w:val="273"/>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Reductions as a result of a lapse of the applicable statute of limitations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(3,549)</w:t>
            </w:r>
          </w:p>
        </w:tc>
      </w:tr>
      <w:tr>
        <w:trPr>
          <w:trHeight w:val="240"/>
        </w:trPr>
        <w:tc>
          <w:tcPr>
            <w:tcW w:w="7440" w:type="dxa"/>
            <w:vAlign w:val="bottom"/>
          </w:tcPr>
          <w:p>
            <w:pPr>
              <w:ind w:left="80"/>
              <w:spacing w:after="0"/>
              <w:rPr>
                <w:sz w:val="20"/>
                <w:szCs w:val="20"/>
                <w:color w:val="auto"/>
              </w:rPr>
            </w:pPr>
            <w:r>
              <w:rPr>
                <w:rFonts w:ascii="Arial" w:cs="Arial" w:eastAsia="Arial" w:hAnsi="Arial"/>
                <w:sz w:val="16"/>
                <w:szCs w:val="16"/>
                <w:color w:val="auto"/>
              </w:rPr>
              <w:t>Balance —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20,987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19,522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19,867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auto"/>
        </w:rPr>
        <w:t>At December 31, 2014 and 2013, the gross unrecognized tax benefits included $ 15.0 million and $13.9 million (net of the federal benefit on state issues), respectively, that represents the amount of unrecognized tax benefits that, if recognized, would favorably affect the effective income tax rate in any future periods.</w:t>
      </w:r>
    </w:p>
    <w:p>
      <w:pPr>
        <w:spacing w:after="0" w:line="25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accrues interest and penalties related to unrecognized tax benefits in its provision for income taxes within the consolidated statements of financial condition. At December 31, 2014 and 2013, the liability for unrecognized tax benefits included accrued interest of $2.3 million and $2.1 million, respectively, and penalties of $3.7 million and $3.3 million, respectively.</w:t>
      </w:r>
    </w:p>
    <w:p>
      <w:pPr>
        <w:spacing w:after="0" w:line="310"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The Company and its subsidiaries file income tax returns in the federal jurisdiction, as well as most state jurisdictions, and are subject to routine examinations by the respective taxing authorities. The Company has concluded all federal income tax matters for years through 2010 and all state income tax matters for years through 2006.</w:t>
      </w:r>
    </w:p>
    <w:p>
      <w:pPr>
        <w:spacing w:after="0" w:line="310" w:lineRule="exact"/>
        <w:rPr>
          <w:sz w:val="20"/>
          <w:szCs w:val="20"/>
          <w:color w:val="auto"/>
        </w:rPr>
      </w:pPr>
    </w:p>
    <w:p>
      <w:pPr>
        <w:ind w:right="280" w:firstLine="486"/>
        <w:spacing w:after="0" w:line="256" w:lineRule="auto"/>
        <w:rPr>
          <w:sz w:val="20"/>
          <w:szCs w:val="20"/>
          <w:color w:val="auto"/>
        </w:rPr>
      </w:pPr>
      <w:r>
        <w:rPr>
          <w:rFonts w:ascii="Arial" w:cs="Arial" w:eastAsia="Arial" w:hAnsi="Arial"/>
          <w:sz w:val="18"/>
          <w:szCs w:val="18"/>
          <w:color w:val="auto"/>
        </w:rPr>
        <w:t>The tax years of 2011 to 2014 remain open to examination in the federal jurisdiction. The tax years of 2007 to 2014 remain open to examination in the state jurisdictions. In the next 12 months, it is reasonably possible that the Company expects a reduction in unrecognized tax benefits of $1.6 million primarily related to the statute of limitations expiration in various state jurisdictions.</w:t>
      </w:r>
    </w:p>
    <w:p>
      <w:pPr>
        <w:spacing w:after="0" w:line="126" w:lineRule="exact"/>
        <w:rPr>
          <w:sz w:val="20"/>
          <w:szCs w:val="20"/>
          <w:color w:val="auto"/>
        </w:rPr>
      </w:pPr>
    </w:p>
    <w:p>
      <w:pPr>
        <w:ind w:right="8100" w:firstLine="8"/>
        <w:spacing w:after="0" w:line="412" w:lineRule="auto"/>
        <w:tabs>
          <w:tab w:leader="none" w:pos="45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68"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$30.1 million, $19.4 million, and $18.8 million for the years ended December 31, 2014, 2013, and 2012,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30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88" w:lineRule="exact"/>
        <w:rPr>
          <w:sz w:val="20"/>
          <w:szCs w:val="20"/>
          <w:color w:val="auto"/>
        </w:rPr>
      </w:pPr>
    </w:p>
    <w:p>
      <w:pPr>
        <w:ind w:right="100" w:firstLine="486"/>
        <w:spacing w:after="0" w:line="265" w:lineRule="auto"/>
        <w:rPr>
          <w:sz w:val="20"/>
          <w:szCs w:val="20"/>
          <w:color w:val="auto"/>
        </w:rPr>
      </w:pPr>
      <w:r>
        <w:rPr>
          <w:rFonts w:ascii="Arial" w:cs="Arial" w:eastAsia="Arial" w:hAnsi="Arial"/>
          <w:sz w:val="17"/>
          <w:szCs w:val="17"/>
          <w:color w:val="auto"/>
        </w:rPr>
        <w:t>The Company also has contractual obligations related to the development of land in South Carolina for office space. Under development and agency contracts the Company expects to pay a pro rata share equal to 27.5% of the design and construction costs. The remaining amounts will be paid by the landlord. The Company’s share of these costs is expected to be approximately $72.8 million, incurred through</w:t>
      </w:r>
    </w:p>
    <w:p>
      <w:pPr>
        <w:spacing w:after="0" w:line="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2017. Additionally, the Company has entered into lease agreements for the office space once developed. These leases have an initial lease term of 20 years that commence once the development is complete and the Company takes occupancy of the buildings.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Future minimum payments under leases, lease commitments, service, development and agency contracts, and other contractual obligations with initial terms greater than one year were as follows at December 31, 2014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2015</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80,775</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2016</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107,132</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2017</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57,515</w:t>
            </w:r>
          </w:p>
        </w:tc>
      </w:tr>
      <w:tr>
        <w:trPr>
          <w:trHeight w:val="233"/>
        </w:trPr>
        <w:tc>
          <w:tcPr>
            <w:tcW w:w="9940" w:type="dxa"/>
            <w:vAlign w:val="bottom"/>
          </w:tcPr>
          <w:p>
            <w:pPr>
              <w:ind w:left="80"/>
              <w:spacing w:after="0"/>
              <w:rPr>
                <w:sz w:val="20"/>
                <w:szCs w:val="20"/>
                <w:color w:val="auto"/>
              </w:rPr>
            </w:pPr>
            <w:r>
              <w:rPr>
                <w:rFonts w:ascii="Arial" w:cs="Arial" w:eastAsia="Arial" w:hAnsi="Arial"/>
                <w:sz w:val="16"/>
                <w:szCs w:val="16"/>
                <w:color w:val="auto"/>
              </w:rPr>
              <w:t>2018</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54,409</w:t>
            </w:r>
          </w:p>
        </w:tc>
      </w:tr>
      <w:tr>
        <w:trPr>
          <w:trHeight w:val="253"/>
        </w:trPr>
        <w:tc>
          <w:tcPr>
            <w:tcW w:w="9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2019</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38,649</w:t>
            </w:r>
          </w:p>
        </w:tc>
      </w:tr>
      <w:tr>
        <w:trPr>
          <w:trHeight w:val="237"/>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Thereafter</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369,285</w:t>
            </w:r>
          </w:p>
        </w:tc>
      </w:tr>
      <w:tr>
        <w:trPr>
          <w:trHeight w:val="24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Total(1)(2)</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707,765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8890</wp:posOffset>
            </wp:positionV>
            <wp:extent cx="934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ind w:left="340" w:right="34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table above includes the minimum payments due over the duration of a contractual obligation, which may be canceled, subject to a termination penalty that is approximately equal to the initial annual minimum payment. The amount constituting the termination penalty steps down ratably through the passage of time. Future minimum payments have not been reduced by this termination penalty.</w:t>
      </w:r>
    </w:p>
    <w:p>
      <w:pPr>
        <w:spacing w:after="0" w:line="39" w:lineRule="exact"/>
        <w:rPr>
          <w:rFonts w:ascii="Arial" w:cs="Arial" w:eastAsia="Arial" w:hAnsi="Arial"/>
          <w:sz w:val="18"/>
          <w:szCs w:val="18"/>
          <w:color w:val="auto"/>
        </w:rPr>
      </w:pPr>
    </w:p>
    <w:p>
      <w:pPr>
        <w:ind w:left="340" w:right="1120" w:hanging="332"/>
        <w:spacing w:after="0" w:line="262"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Future minimum payments have not been reduced by minimum sublease rental income of $3.0 million due in the future under noncancellable subleases.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2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December 31, 2014.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Assessing the probability of a loss occurring and the amount of any loss related to a legal proceeding or regulatory matter is inherently difficult. While the Company exercises significant and complex judgments to make certain estimates presented in its consolidated financial statements,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When it is not probable, but at least reasonably possible that a loss has been incurred, a disclosure of fact is made when the underlying loss or range of losses can also be reasonably estimated. The Company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1" w:right="2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estimates that, as of December 31, 2014, exposure to those losses could range from $0 to $15 million in excess of the accrued liability, if any, related to those matters. Due to the inherent unpredictability of such matters, the Company may have exposure to losses that are not yet predictable or cannot yet be reasonably estimated in addition to those amounts that have been accrued or disclosed.</w:t>
      </w:r>
    </w:p>
    <w:p>
      <w:pPr>
        <w:spacing w:after="0" w:line="9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maintains insurance coverage for certain legal proceedings, including those involving client claims. With respect to client claims, the estimated losses on many of the pending matters are less than the applicable deductibles of the insurance policies. The Company is also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of December 31, 2014, the Company had received collateral, primarily in connection with client margin loans, with a market value of approximately $353.2 million, which it can repledge, loan, or sell. Of these securities, approximately $32.3 million were client-owned securities pledged to the Options Clearing Corporation as collateral to secure client obligations related to options positions. As of December 31, 2014 there were no restrictions that materially limited the Company's ability to repledge, loan, or sell the remaining $320.9 million of client collateral.</w:t>
      </w:r>
    </w:p>
    <w:p>
      <w:pPr>
        <w:spacing w:after="0" w:line="204"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Trading securities on the consolidated statements of financial condition includes $4.0 million and $1.4 million pledged to clearing organizations at December 31, 2014 and 2013, respectively.</w:t>
      </w:r>
    </w:p>
    <w:p>
      <w:pPr>
        <w:spacing w:after="0" w:line="6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payment, timing and amount of any dividends permitted under the Company's credit facilities are subject to approval by the Board of Directors. Cash dividends per share of common stock and total cash dividends paid during each quarter were as follows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1240" w:type="dxa"/>
            <w:vAlign w:val="bottom"/>
            <w:tcBorders>
              <w:bottom w:val="single" w:sz="8" w:color="auto"/>
            </w:tcBorders>
          </w:tcPr>
          <w:p>
            <w:pPr>
              <w:spacing w:after="0"/>
              <w:rPr>
                <w:sz w:val="19"/>
                <w:szCs w:val="19"/>
                <w:color w:val="auto"/>
              </w:rPr>
            </w:pPr>
          </w:p>
        </w:tc>
      </w:tr>
      <w:tr>
        <w:trPr>
          <w:trHeight w:val="198"/>
        </w:trPr>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 per</w:t>
            </w: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Total Cash</w:t>
            </w: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Dividend per</w:t>
            </w:r>
          </w:p>
        </w:tc>
        <w:tc>
          <w:tcPr>
            <w:tcW w:w="24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Share</w:t>
            </w:r>
          </w:p>
        </w:tc>
        <w:tc>
          <w:tcPr>
            <w:tcW w:w="240" w:type="dxa"/>
            <w:vAlign w:val="bottom"/>
          </w:tcPr>
          <w:p>
            <w:pPr>
              <w:spacing w:after="0"/>
              <w:rPr>
                <w:sz w:val="19"/>
                <w:szCs w:val="19"/>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0.135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r>
      <w:tr>
        <w:trPr>
          <w:trHeight w:val="260"/>
        </w:trPr>
        <w:tc>
          <w:tcPr>
            <w:tcW w:w="51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0.135</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14.4</w:t>
            </w: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r>
      <w:tr>
        <w:trPr>
          <w:trHeight w:val="251"/>
        </w:trPr>
        <w:tc>
          <w:tcPr>
            <w:tcW w:w="51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0.190</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19.3</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41" w:right="2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had the following activity under its approved share repurchase programs (in millions,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at December 31,</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 Price</w:t>
            </w:r>
          </w:p>
        </w:tc>
        <w:tc>
          <w:tcPr>
            <w:tcW w:w="160" w:type="dxa"/>
            <w:vAlign w:val="bottom"/>
          </w:tcPr>
          <w:p>
            <w:pPr>
              <w:spacing w:after="0"/>
              <w:rPr>
                <w:sz w:val="14"/>
                <w:szCs w:val="14"/>
                <w:color w:val="auto"/>
              </w:rPr>
            </w:pPr>
          </w:p>
        </w:tc>
        <w:tc>
          <w:tcPr>
            <w:tcW w:w="760" w:type="dxa"/>
            <w:vAlign w:val="bottom"/>
          </w:tcPr>
          <w:p>
            <w:pPr>
              <w:jc w:val="right"/>
              <w:ind w:right="2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Cost(1)</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Cost(1)</w:t>
            </w:r>
          </w:p>
        </w:tc>
        <w:tc>
          <w:tcPr>
            <w:tcW w:w="0" w:type="dxa"/>
            <w:vAlign w:val="bottom"/>
          </w:tcPr>
          <w:p>
            <w:pPr>
              <w:spacing w:after="0"/>
              <w:rPr>
                <w:sz w:val="1"/>
                <w:szCs w:val="1"/>
                <w:color w:val="auto"/>
              </w:rPr>
            </w:pPr>
          </w:p>
        </w:tc>
      </w:tr>
      <w:tr>
        <w:trPr>
          <w:trHeight w:val="256"/>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2,343,651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60"/>
        </w:trPr>
        <w:tc>
          <w:tcPr>
            <w:tcW w:w="1740" w:type="dxa"/>
            <w:vAlign w:val="bottom"/>
            <w:gridSpan w:val="2"/>
          </w:tcPr>
          <w:p>
            <w:pPr>
              <w:ind w:left="40"/>
              <w:spacing w:after="0"/>
              <w:rPr>
                <w:sz w:val="20"/>
                <w:szCs w:val="20"/>
                <w:color w:val="auto"/>
              </w:rPr>
            </w:pPr>
            <w:r>
              <w:rPr>
                <w:rFonts w:ascii="Arial" w:cs="Arial" w:eastAsia="Arial" w:hAnsi="Arial"/>
                <w:sz w:val="16"/>
                <w:szCs w:val="16"/>
                <w:color w:val="auto"/>
              </w:rPr>
              <w:t>May 28, 2013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1,306,288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2"/>
                <w:szCs w:val="22"/>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3,476,137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80"/>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3,250,516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150.1</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October 1, 2014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1,342,405</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5,899,209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275.1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5,819,788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219.1</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7"/>
                <w:szCs w:val="7"/>
                <w:color w:val="auto"/>
              </w:rPr>
              <w:t>_________________________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(1)  Included in the total cost of shares purchased is a commission fee of $0.02 per share.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18.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details regarding the repurchase of shares from related parties.</w:t>
      </w:r>
    </w:p>
    <w:p>
      <w:pPr>
        <w:spacing w:after="0" w:line="32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3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On November 17, 2010, the Company adopted a 2010 Omnibus Equity Incentive Plan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7"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There are 12,055,945 shares authorized for grant under the 2010 Plan. As of December 31, 2014, there were 6,318,795 shares reserved for issuance upon exercise or conversion of outstanding awards granted under the 2010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39" w:lineRule="exact"/>
        <w:rPr>
          <w:sz w:val="20"/>
          <w:szCs w:val="20"/>
          <w:color w:val="auto"/>
        </w:rPr>
      </w:pPr>
    </w:p>
    <w:p>
      <w:pPr>
        <w:ind w:right="86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stock options granted to its employees, officers, and directors: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25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6.49</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45.73%</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14.43</w:t>
            </w:r>
          </w:p>
        </w:tc>
      </w:tr>
    </w:tbl>
    <w:p>
      <w:pPr>
        <w:spacing w:after="0" w:line="161" w:lineRule="exact"/>
        <w:rPr>
          <w:sz w:val="20"/>
          <w:szCs w:val="20"/>
          <w:color w:val="auto"/>
        </w:rPr>
      </w:pPr>
    </w:p>
    <w:p>
      <w:pPr>
        <w:ind w:right="720" w:firstLine="486"/>
        <w:spacing w:after="0" w:line="262" w:lineRule="auto"/>
        <w:rPr>
          <w:sz w:val="20"/>
          <w:szCs w:val="20"/>
          <w:color w:val="auto"/>
        </w:rPr>
      </w:pPr>
      <w:r>
        <w:rPr>
          <w:rFonts w:ascii="Arial" w:cs="Arial" w:eastAsia="Arial" w:hAnsi="Arial"/>
          <w:sz w:val="18"/>
          <w:szCs w:val="18"/>
          <w:color w:val="auto"/>
        </w:rPr>
        <w:t>The fair value of stock options and warrants awarded to advisors and financial institutions are estimated on the date of grant and revalued at each reporting period using the Black-Scholes valuation model with the following weighted-average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2012</w:t>
            </w:r>
          </w:p>
        </w:tc>
      </w:tr>
      <w:tr>
        <w:trPr>
          <w:trHeight w:val="25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7.61</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Expected stock price volatility</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43.97%</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60"/>
        </w:trPr>
        <w:tc>
          <w:tcPr>
            <w:tcW w:w="72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8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options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11.46</w:t>
            </w:r>
          </w:p>
        </w:tc>
      </w:tr>
    </w:tbl>
    <w:p>
      <w:pPr>
        <w:spacing w:after="0" w:line="200" w:lineRule="exact"/>
        <w:rPr>
          <w:sz w:val="20"/>
          <w:szCs w:val="20"/>
          <w:color w:val="auto"/>
        </w:rPr>
      </w:pPr>
    </w:p>
    <w:p>
      <w:pPr>
        <w:sectPr>
          <w:pgSz w:w="11900" w:h="16838" w:orient="portrait"/>
          <w:cols w:equalWidth="0" w:num="1">
            <w:col w:w="11420"/>
          </w:cols>
          <w:pgMar w:left="240" w:top="44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1" w:right="2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firstLine="486"/>
        <w:spacing w:after="0" w:line="267" w:lineRule="auto"/>
        <w:rPr>
          <w:sz w:val="20"/>
          <w:szCs w:val="20"/>
          <w:color w:val="auto"/>
        </w:rPr>
      </w:pPr>
      <w:r>
        <w:rPr>
          <w:rFonts w:ascii="Arial" w:cs="Arial" w:eastAsia="Arial" w:hAnsi="Arial"/>
          <w:sz w:val="17"/>
          <w:szCs w:val="17"/>
          <w:color w:val="auto"/>
        </w:rPr>
        <w:t>Beginning in the fourth quarter of 2014, the Company updated certain assumptions it uses to estimate expected life, stock price volatility, and dividend yield in the Black-Scholes valuation model. The Company currently estimates the expected life for stock options awarded to employees, officers, and directors using historical experience and estimates the expected life for stock options and warrants awarded to advisors and financial institutions using the remaining contractual term. The Company estimates expected stock price volatility using historical trading data for the period of time there has been a public market for the Company's stock. The dividend yield is based on an expected dividend as a percentage of the trailing three-month average of the Company's stock price as of the valuation date. The risk-free interest rates are based on the implied yield available on U.S. Treasury constant maturities with remaining terms equivalent to the respective expected lives of the options on the date of grant. No stock options were granted to employees, officers, and directors in the fourth quarter of 2014; therefore, the related weighted-average assumptions used during the year ended December 31, 2014 were not impacted by the change in assumptions. The estimated fair value of stock options and warrants awarded to advisors and financial institutions are revalued at each reporting period; therefore, the weighted-average assumptions used during the year ended December 31, 2014 are estimated using the updated assumptions.</w:t>
      </w:r>
    </w:p>
    <w:p>
      <w:pPr>
        <w:spacing w:after="0" w:line="255"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 xml:space="preserve">Prior to the fourth quarter of 2014, the Company estimated the expected life for stock options awarded to employees, officers, and directors using the simplified method in accordance with Staff Accounting Bulletin 110, </w:t>
      </w:r>
      <w:r>
        <w:rPr>
          <w:rFonts w:ascii="Arial" w:cs="Arial" w:eastAsia="Arial" w:hAnsi="Arial"/>
          <w:sz w:val="18"/>
          <w:szCs w:val="18"/>
          <w:i w:val="1"/>
          <w:iCs w:val="1"/>
          <w:color w:val="auto"/>
        </w:rPr>
        <w:t>Certain Assumptions Used in Valuation Methods</w:t>
      </w:r>
      <w:r>
        <w:rPr>
          <w:rFonts w:ascii="Arial" w:cs="Arial" w:eastAsia="Arial" w:hAnsi="Arial"/>
          <w:sz w:val="18"/>
          <w:szCs w:val="18"/>
          <w:color w:val="auto"/>
        </w:rPr>
        <w:t>, because the Company did not have sufficient relevant historical information to develop reasonable expectations about future exercise patterns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estimated the expected stock price volatility using the stock price volatility of comparable companies, as well as the historical trading data for the period of time there was a public market for the Company's stock. The dividend yield was based on an expected dividend as a percentage of the Company's stock price on the valuation date.</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2011</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9,022,750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50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1,978,862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(2,335,026)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(524,577)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29.75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2012</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8,142,009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50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1,278,508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(1,387,918)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(1,016,078)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31.15</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2013</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7,016,521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28.45</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60"/>
        </w:trPr>
        <w:tc>
          <w:tcPr>
            <w:tcW w:w="50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748,353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54.21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(1,060,017)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(417,447)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35.11</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6,287,410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81,465</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December 31, 2014</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3,626,762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27.49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61,872</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4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as of December 31,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Life</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17,382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17,382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$15.84 - $23.02</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1,289,104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21.41</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1,289,104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21.41</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$23.41 - $30.00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1,575,697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1,065,607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27.83</w:t>
            </w:r>
          </w:p>
        </w:tc>
      </w:tr>
      <w:tr>
        <w:trPr>
          <w:trHeight w:val="260"/>
        </w:trPr>
        <w:tc>
          <w:tcPr>
            <w:tcW w:w="4000" w:type="dxa"/>
            <w:vAlign w:val="bottom"/>
          </w:tcPr>
          <w:p>
            <w:pPr>
              <w:ind w:left="180"/>
              <w:spacing w:after="0"/>
              <w:rPr>
                <w:sz w:val="20"/>
                <w:szCs w:val="20"/>
                <w:color w:val="auto"/>
              </w:rPr>
            </w:pPr>
            <w:r>
              <w:rPr>
                <w:rFonts w:ascii="Arial" w:cs="Arial" w:eastAsia="Arial" w:hAnsi="Arial"/>
                <w:sz w:val="16"/>
                <w:szCs w:val="16"/>
                <w:color w:val="auto"/>
              </w:rPr>
              <w:t>$31.60 - $32.33</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1,576,431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31.88</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462,151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31.96</w:t>
            </w:r>
          </w:p>
        </w:tc>
      </w:tr>
      <w:tr>
        <w:trPr>
          <w:trHeight w:val="280"/>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$34.01 - $39.60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1,156,984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779,015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34.52</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$45.89 - $54.81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671,812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54.25</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13,503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54.81</w:t>
            </w:r>
          </w:p>
        </w:tc>
      </w:tr>
      <w:tr>
        <w:trPr>
          <w:trHeight w:val="240"/>
        </w:trPr>
        <w:tc>
          <w:tcPr>
            <w:tcW w:w="4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6,287,410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3,626,762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auto"/>
        </w:rPr>
        <w:t>The Company recognized $14.7 million, $12.7 million, and $15.9 million of share-based compensation related to the vesting of stock options awarded to employees, officers, and directors during the years ended December 31, 2014, 2013, and 2012, respectively. As of December 31, 2014, total unrecognized compensation cost for these awards was $21.4 million, which is expected to be recognized over a weighted-average period of 2.05 years.</w:t>
      </w:r>
    </w:p>
    <w:p>
      <w:pPr>
        <w:spacing w:after="0" w:line="31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recognized $5.3 million, $9.2 million, and $3.8 million of share-based compensation related to the vesting of stock options and warrants awarded to its advisors and to financial institutions during the years ended December 31, 2014, 2013, and 2012, respectively. As of December 31, 2014, total unrecognized compensation cost for these awards was $7.7 million, which is expected to be recognized over a weighted-average period of 2.35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restricted stock awards and restricted stock units activity: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Weighted-Average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Weighted-Average</w:t>
            </w:r>
          </w:p>
        </w:tc>
      </w:tr>
      <w:tr>
        <w:trPr>
          <w:trHeight w:val="189"/>
        </w:trPr>
        <w:tc>
          <w:tcPr>
            <w:tcW w:w="4240" w:type="dxa"/>
            <w:vAlign w:val="bottom"/>
          </w:tcPr>
          <w:p>
            <w:pPr>
              <w:spacing w:after="0"/>
              <w:rPr>
                <w:sz w:val="16"/>
                <w:szCs w:val="16"/>
                <w:color w:val="auto"/>
              </w:rPr>
            </w:pPr>
          </w:p>
        </w:tc>
        <w:tc>
          <w:tcPr>
            <w:tcW w:w="174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Grant-Date</w:t>
            </w: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2011</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2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26,680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29.99</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8,925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28.01</w:t>
            </w:r>
          </w:p>
        </w:tc>
      </w:tr>
      <w:tr>
        <w:trPr>
          <w:trHeight w:val="28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31.44</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2012</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28.01</w:t>
            </w:r>
          </w:p>
        </w:tc>
      </w:tr>
      <w:tr>
        <w:trPr>
          <w:trHeight w:val="260"/>
        </w:trPr>
        <w:tc>
          <w:tcPr>
            <w:tcW w:w="42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22,307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35.85</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270,733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32.11</w:t>
            </w:r>
          </w:p>
        </w:tc>
      </w:tr>
      <w:tr>
        <w:trPr>
          <w:trHeight w:val="28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30.43</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30.37</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 December 31, 2013</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39,153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256,684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32.12</w:t>
            </w:r>
          </w:p>
        </w:tc>
      </w:tr>
      <w:tr>
        <w:trPr>
          <w:trHeight w:val="260"/>
        </w:trPr>
        <w:tc>
          <w:tcPr>
            <w:tcW w:w="4240" w:type="dxa"/>
            <w:vAlign w:val="bottom"/>
          </w:tcPr>
          <w:p>
            <w:pPr>
              <w:ind w:left="200"/>
              <w:spacing w:after="0"/>
              <w:rPr>
                <w:sz w:val="20"/>
                <w:szCs w:val="20"/>
                <w:color w:val="auto"/>
              </w:rPr>
            </w:pPr>
            <w:r>
              <w:rPr>
                <w:rFonts w:ascii="Arial" w:cs="Arial" w:eastAsia="Arial" w:hAnsi="Arial"/>
                <w:sz w:val="16"/>
                <w:szCs w:val="16"/>
                <w:color w:val="auto"/>
              </w:rPr>
              <w:t>Granted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17,256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48.62</w:t>
            </w:r>
          </w:p>
        </w:tc>
        <w:tc>
          <w:tcPr>
            <w:tcW w:w="100" w:type="dxa"/>
            <w:vAlign w:val="bottom"/>
          </w:tcPr>
          <w:p>
            <w:pPr>
              <w:spacing w:after="0"/>
              <w:rPr>
                <w:sz w:val="22"/>
                <w:szCs w:val="22"/>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395,987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48.49</w:t>
            </w:r>
          </w:p>
        </w:tc>
      </w:tr>
      <w:tr>
        <w:trPr>
          <w:trHeight w:val="280"/>
        </w:trPr>
        <w:tc>
          <w:tcPr>
            <w:tcW w:w="4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31.01</w:t>
            </w:r>
          </w:p>
        </w:tc>
      </w:tr>
      <w:tr>
        <w:trPr>
          <w:trHeight w:val="264"/>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32.96</w:t>
            </w:r>
          </w:p>
        </w:tc>
        <w:tc>
          <w:tcPr>
            <w:tcW w:w="10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(56,582)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39.18</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2014</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33,634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546,725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43.34</w:t>
            </w: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auto"/>
        </w:rPr>
        <w:t>The Company recognized $ 6.1 million, $2.5 million, and $0.6 million of share-based compensation related to the vesting of restricted stock awards and restricted stock units awarded to its employees, officers, and directors during the years ended December 31, 2014, 2013, and 2012, respectively. As of December 31, 2014, total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unrecognized compensation cost for these awards was $11.5 million, which is expected to be recognized over a weighted-average remaining period of 2.15 years.</w:t>
      </w:r>
    </w:p>
    <w:p>
      <w:pPr>
        <w:spacing w:after="0" w:line="142"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 Company began granting restricted stock units to its advisors and to financial institutions in the second quarter of 2014. The Company recognized share-based compensation of $1.0 million related to the vesting of these awards during the year ended December 31, 2014. As of December 31, 2014, total unrecognized compensation cost for these awards was $3.8 million, which is expected to be recognized over a weighted-average remaining period of 2.37 years.</w:t>
      </w:r>
    </w:p>
    <w:p>
      <w:pPr>
        <w:spacing w:after="0" w:line="128"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calculation of basic and diluted earnings per share for the years noted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8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2012</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178,043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181,857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151,918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1"/>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99,847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104,698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109,443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1,617</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101,651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106,003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111,060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1"/>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years ended December 31, 2014, 2013, and 2012, stock options, warrants, and restricted stock units representing common share equivalents of 864,488 shares, 3,440,171 shares, and 4,615,244 shares, respectively, were anti-dilutive.</w:t>
      </w:r>
    </w:p>
    <w:p>
      <w:pPr>
        <w:spacing w:after="0" w:line="126"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Advisor Benefit Plans</w:t>
      </w:r>
    </w:p>
    <w:p>
      <w:pPr>
        <w:spacing w:after="0" w:line="139"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The Company participates in a 401(k) defined contribution plan sponsored by LPL Financial. All employees meeting minimum age and length of service requirements are eligible to participate. The Company has an employer matching program whereby employer contributions are made to the 401(k) plan, and employees are eligible for matching contributions after completing one year of service. For 2014, employer contributions were made in an amount equal to 65% of the first 8% of an employee's designated deferral of their eligible compensation. For 2013 and 2012, contributions were made in an amount equal to 50% and 40%, respectively, of the first 10% of an employee's designated deferral of their eligible compensation. The Company’s total cost related to the 401(k) plan was $8.7 million, $6.3 million, and $ 4.5 million for the years ended December 31, 2014, 2013, and 2012, respectively, which is classified as compensation and benefits expense in the consolidated statements of income.</w:t>
      </w:r>
    </w:p>
    <w:p>
      <w:pPr>
        <w:spacing w:after="0" w:line="193"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August 2012, the Company established the 2012 Employee Stock Purchase Plan (the “ESPP”) as a benefit to enable eligible employees to purchase common stock of LPLFH at a discount from the market price through payroll deductions, subject to limitations. Eligible employees may elect to participate in the ESPP only during an open enrollment period. The offering period immediately follows the open enrollment window, upon which time ESPP contributions are withheld from the participant's regular paycheck. The ESPP provides for a 15% discount on the market value of the stock at the lower of the grant date price (first day of the offering period) and the purchase date price (last day of the offering period).</w:t>
      </w:r>
    </w:p>
    <w:p>
      <w:pPr>
        <w:spacing w:after="0" w:line="20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On January 1, 2008, the Company adopted a non-qualified deferred compensation plan for the purpose of attracting and retaining advisors who operate, for tax purposes, as independent contractors, by providing an opportunity for participating advisors to defer receipt of a portion of their gross commissions generated primarily from commissions earned on the sale of various products. The deferred compensation plan has been fully funded to date by participant contributions. Plan assets are invested in mutual funds, which are held by the Company in a Rabbi Trust. The liability for benefits accrued under the non-qualified deferred compensation plan totaled $72.8 million at December 31, 2014, which is included in accounts payable and accrued liabilities in the consolidated statements of financial condition. The cash values of the related trust assets was $73.6 million at December 31,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41"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2014, which is measured at fair value and included in other assets in the consolidated statements of financial condition.</w:t>
      </w:r>
    </w:p>
    <w:p>
      <w:pPr>
        <w:spacing w:after="0" w:line="212"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Certain employees and advisors of the Company’s subsidiaries participated in non-qualified deferred compensation plans (the “Plans”) that permitted participants to defer portions of their compensation and earn interest on the deferred amounts. The Plans have been closed to new participants and no contributions have been made since the acquisition date. Plan assets are held by the Company in a Rabbi Trust and accounted for in the manner described above. As of December 31, 2014, the Company has recorded assets of $1.9 million and liabilities of $0.7 million, which are included in other assets and accounts payable and accrued liabilities, respectively, in the consolidated statements of financial condition.</w:t>
      </w:r>
    </w:p>
    <w:p>
      <w:pPr>
        <w:spacing w:after="0" w:line="7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39"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The Company has related party transactions with TPG Capital, a 13% shareholder of the Company's common stock, as well as certain portfolio companies of TPG Capital. During the years ended December 31, 2014, 2013, and 2012 the Company recognized revenue for services provided to these portfolio companies of $1.0 million, $0.5 million, and $0.4 million, respectively. During the years ended December 31, 2014, 2013, and 2012, the Company incurred expenses for services provided by TPG Capital or these portfolio companies of $4.2 million, $0.6 million, and $0.9 million, respectively. As of December 31, 2014 and 2013, payables to related parties were $0.5 million and less than $0.1 million, respectively, and receivables from related parties were $0.2 million and less than $0.1 million, respectively.</w:t>
      </w:r>
    </w:p>
    <w:p>
      <w:pPr>
        <w:spacing w:after="0" w:line="209"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On February 12, 2014, the Company entered into a share repurchase agreement with an investment fund associated with TPG Capital, pursuant to which the Company repurchased 1.9 million shares of its common stock at a price of $52.00 per share, for total consideration of $100.0 million. The repurchase transaction closed on February 19, 2014.</w:t>
      </w:r>
    </w:p>
    <w:p>
      <w:pPr>
        <w:spacing w:after="0" w:line="256"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Through its subsidiary LPL Financial, the Company also provides charitable contributions to the LPL Financial Foundation, an organization that provides volunteer and financial support within its local communities. During the year ended December 31, 2014 the Company donated $2.0 million to the LPL Financial Foundation, which is included in other expenses in the consolidated statements of income.</w:t>
      </w:r>
    </w:p>
    <w:p>
      <w:pPr>
        <w:spacing w:after="0" w:line="234"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31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$101.7 million with a minimum net capital requirement of $6.5 million as of December 31, 2014.</w:t>
      </w:r>
    </w:p>
    <w:p>
      <w:pPr>
        <w:spacing w:after="0" w:line="312"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The Company's subsidiary,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2014 and 2013, LPL Financial and PTC met all capital adequacy requirements to which they were subject.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355"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314"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31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9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37"/>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38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3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1,087,431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1,092,729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1,089,234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1,104,268</w:t>
            </w:r>
          </w:p>
        </w:tc>
      </w:tr>
      <w:tr>
        <w:trPr>
          <w:trHeight w:val="260"/>
        </w:trPr>
        <w:tc>
          <w:tcPr>
            <w:tcW w:w="386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53,135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43,091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33,272</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48,545</w:t>
            </w:r>
          </w:p>
        </w:tc>
      </w:tr>
      <w:tr>
        <w:trPr>
          <w:trHeight w:val="280"/>
        </w:trPr>
        <w:tc>
          <w:tcPr>
            <w:tcW w:w="3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r>
      <w:tr>
        <w:trPr>
          <w:trHeight w:val="260"/>
        </w:trPr>
        <w:tc>
          <w:tcPr>
            <w:tcW w:w="386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0.49</w:t>
            </w:r>
          </w:p>
        </w:tc>
      </w:tr>
      <w:tr>
        <w:trPr>
          <w:trHeight w:val="280"/>
        </w:trPr>
        <w:tc>
          <w:tcPr>
            <w:tcW w:w="3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723"/>
        </w:trPr>
        <w:tc>
          <w:tcPr>
            <w:tcW w:w="3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37"/>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8"/>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First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8"/>
                <w:szCs w:val="18"/>
                <w:color w:val="auto"/>
              </w:rPr>
            </w:pPr>
          </w:p>
        </w:tc>
        <w:tc>
          <w:tcPr>
            <w:tcW w:w="1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Fourth</w:t>
            </w:r>
          </w:p>
        </w:tc>
      </w:tr>
      <w:tr>
        <w:trPr>
          <w:trHeight w:val="228"/>
        </w:trPr>
        <w:tc>
          <w:tcPr>
            <w:tcW w:w="386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Quarter</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Quarter</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Quarter</w:t>
            </w:r>
          </w:p>
        </w:tc>
      </w:tr>
      <w:tr>
        <w:trPr>
          <w:trHeight w:val="257"/>
        </w:trPr>
        <w:tc>
          <w:tcPr>
            <w:tcW w:w="3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revenues</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974,796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1,018,920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1,053,212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1,093,930</w:t>
            </w:r>
          </w:p>
        </w:tc>
      </w:tr>
      <w:tr>
        <w:trPr>
          <w:trHeight w:val="260"/>
        </w:trPr>
        <w:tc>
          <w:tcPr>
            <w:tcW w:w="386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54,717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45,091</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37,631</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44,418</w:t>
            </w:r>
          </w:p>
        </w:tc>
      </w:tr>
      <w:tr>
        <w:trPr>
          <w:trHeight w:val="280"/>
        </w:trPr>
        <w:tc>
          <w:tcPr>
            <w:tcW w:w="3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Basic earnings per share</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r>
      <w:tr>
        <w:trPr>
          <w:trHeight w:val="260"/>
        </w:trPr>
        <w:tc>
          <w:tcPr>
            <w:tcW w:w="3860" w:type="dxa"/>
            <w:vAlign w:val="bottom"/>
          </w:tcPr>
          <w:p>
            <w:pPr>
              <w:ind w:left="80"/>
              <w:spacing w:after="0"/>
              <w:rPr>
                <w:sz w:val="20"/>
                <w:szCs w:val="20"/>
                <w:color w:val="auto"/>
              </w:rPr>
            </w:pPr>
            <w:r>
              <w:rPr>
                <w:rFonts w:ascii="Arial" w:cs="Arial" w:eastAsia="Arial" w:hAnsi="Arial"/>
                <w:sz w:val="16"/>
                <w:szCs w:val="16"/>
                <w:color w:val="auto"/>
              </w:rPr>
              <w:t>Diluted earnings per share</w:t>
            </w:r>
          </w:p>
        </w:tc>
        <w:tc>
          <w:tcPr>
            <w:tcW w:w="2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280"/>
        </w:trPr>
        <w:tc>
          <w:tcPr>
            <w:tcW w:w="38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Dividends declared per share</w:t>
            </w:r>
          </w:p>
        </w:tc>
        <w:tc>
          <w:tcPr>
            <w:tcW w:w="2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0.135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0.190</w:t>
            </w:r>
          </w:p>
        </w:tc>
      </w:tr>
      <w:tr>
        <w:trPr>
          <w:trHeight w:val="621"/>
        </w:trPr>
        <w:tc>
          <w:tcPr>
            <w:tcW w:w="3860" w:type="dxa"/>
            <w:vAlign w:val="bottom"/>
          </w:tcPr>
          <w:p>
            <w:pPr>
              <w:spacing w:after="0"/>
              <w:rPr>
                <w:sz w:val="24"/>
                <w:szCs w:val="24"/>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F-34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441" w:right="23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35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On February 18, 2015, the Board of Directors declared a cash dividend of $0.25 per share on the Company's outstanding common stock to be paid on March 16, 2015 to all stockholders of record on March 2, 2015.</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41"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520" w:type="dxa"/>
            <w:vAlign w:val="bottom"/>
            <w:gridSpan w:val="4"/>
            <w:vMerge w:val="restart"/>
          </w:tcPr>
          <w:p>
            <w:pPr>
              <w:ind w:left="120"/>
              <w:spacing w:after="0"/>
              <w:rPr>
                <w:sz w:val="20"/>
                <w:szCs w:val="20"/>
                <w:color w:val="auto"/>
              </w:rPr>
            </w:pPr>
            <w:r>
              <w:rPr>
                <w:rFonts w:ascii="Arial" w:cs="Arial" w:eastAsia="Arial" w:hAnsi="Arial"/>
                <w:sz w:val="16"/>
                <w:szCs w:val="16"/>
                <w:b w:val="1"/>
                <w:bCs w:val="1"/>
                <w:color w:val="auto"/>
              </w:rPr>
              <w:t>Subsidiaries of Registrant</w:t>
            </w:r>
          </w:p>
        </w:tc>
        <w:tc>
          <w:tcPr>
            <w:tcW w:w="3300" w:type="dxa"/>
            <w:vAlign w:val="bottom"/>
          </w:tcPr>
          <w:p>
            <w:pPr>
              <w:ind w:left="2400"/>
              <w:spacing w:after="0"/>
              <w:rPr>
                <w:sz w:val="20"/>
                <w:szCs w:val="20"/>
                <w:color w:val="auto"/>
              </w:rPr>
            </w:pPr>
            <w:r>
              <w:rPr>
                <w:rFonts w:ascii="Arial" w:cs="Arial" w:eastAsia="Arial" w:hAnsi="Arial"/>
                <w:sz w:val="16"/>
                <w:szCs w:val="16"/>
                <w:b w:val="1"/>
                <w:bCs w:val="1"/>
                <w:color w:val="auto"/>
                <w:w w:val="98"/>
              </w:rPr>
              <w:t>Exhibit 21.1</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520" w:type="dxa"/>
            <w:vAlign w:val="bottom"/>
            <w:gridSpan w:val="4"/>
            <w:vMerge w:val="continue"/>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Jurisdiction of</w:t>
            </w:r>
          </w:p>
        </w:tc>
        <w:tc>
          <w:tcPr>
            <w:tcW w:w="3300" w:type="dxa"/>
            <w:vAlign w:val="bottom"/>
          </w:tcPr>
          <w:p>
            <w:pPr>
              <w:ind w:left="900"/>
              <w:spacing w:after="0"/>
              <w:rPr>
                <w:sz w:val="20"/>
                <w:szCs w:val="20"/>
                <w:color w:val="auto"/>
              </w:rPr>
            </w:pPr>
            <w:r>
              <w:rPr>
                <w:rFonts w:ascii="Arial" w:cs="Arial" w:eastAsia="Arial" w:hAnsi="Arial"/>
                <w:sz w:val="16"/>
                <w:szCs w:val="16"/>
                <w:b w:val="1"/>
                <w:bCs w:val="1"/>
                <w:color w:val="auto"/>
              </w:rPr>
              <w:t>Name Under Which</w:t>
            </w:r>
          </w:p>
        </w:tc>
        <w:tc>
          <w:tcPr>
            <w:tcW w:w="0" w:type="dxa"/>
            <w:vAlign w:val="bottom"/>
          </w:tcPr>
          <w:p>
            <w:pPr>
              <w:spacing w:after="0"/>
              <w:rPr>
                <w:sz w:val="1"/>
                <w:szCs w:val="1"/>
                <w:color w:val="auto"/>
              </w:rPr>
            </w:pPr>
          </w:p>
        </w:tc>
      </w:tr>
      <w:tr>
        <w:trPr>
          <w:trHeight w:val="228"/>
        </w:trPr>
        <w:tc>
          <w:tcPr>
            <w:tcW w:w="1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Subsidiary*</w:t>
            </w:r>
          </w:p>
        </w:tc>
        <w:tc>
          <w:tcPr>
            <w:tcW w:w="120" w:type="dxa"/>
            <w:vAlign w:val="bottom"/>
            <w:tcBorders>
              <w:bottom w:val="single" w:sz="8" w:color="CCEEFF"/>
            </w:tcBorders>
          </w:tcPr>
          <w:p>
            <w:pPr>
              <w:spacing w:after="0"/>
              <w:rPr>
                <w:sz w:val="19"/>
                <w:szCs w:val="19"/>
                <w:color w:val="auto"/>
              </w:rPr>
            </w:pPr>
          </w:p>
        </w:tc>
        <w:tc>
          <w:tcPr>
            <w:tcW w:w="3100" w:type="dxa"/>
            <w:vAlign w:val="bottom"/>
            <w:tcBorders>
              <w:bottom w:val="single" w:sz="8" w:color="auto"/>
            </w:tcBorders>
          </w:tcPr>
          <w:p>
            <w:pPr>
              <w:ind w:left="1880"/>
              <w:spacing w:after="0"/>
              <w:rPr>
                <w:sz w:val="20"/>
                <w:szCs w:val="20"/>
                <w:color w:val="auto"/>
              </w:rPr>
            </w:pPr>
            <w:r>
              <w:rPr>
                <w:rFonts w:ascii="Arial" w:cs="Arial" w:eastAsia="Arial" w:hAnsi="Arial"/>
                <w:sz w:val="16"/>
                <w:szCs w:val="16"/>
                <w:b w:val="1"/>
                <w:bCs w:val="1"/>
                <w:color w:val="auto"/>
              </w:rPr>
              <w:t>Entity Name</w:t>
            </w:r>
          </w:p>
        </w:tc>
        <w:tc>
          <w:tcPr>
            <w:tcW w:w="1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the Subsidiary Does Business</w:t>
            </w:r>
          </w:p>
        </w:tc>
        <w:tc>
          <w:tcPr>
            <w:tcW w:w="0" w:type="dxa"/>
            <w:vAlign w:val="bottom"/>
          </w:tcPr>
          <w:p>
            <w:pPr>
              <w:spacing w:after="0"/>
              <w:rPr>
                <w:sz w:val="1"/>
                <w:szCs w:val="1"/>
                <w:color w:val="auto"/>
              </w:rPr>
            </w:pPr>
          </w:p>
        </w:tc>
      </w:tr>
      <w:tr>
        <w:trPr>
          <w:trHeight w:val="257"/>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2"/>
                <w:szCs w:val="22"/>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Holdings, Inc.**</w:t>
            </w: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PTC Holdings,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3300" w:type="dxa"/>
            <w:vAlign w:val="bottom"/>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The Private Trust Company, N.A.</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PTC</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LPL Financial LLC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California</w:t>
            </w:r>
          </w:p>
        </w:tc>
        <w:tc>
          <w:tcPr>
            <w:tcW w:w="3300" w:type="dxa"/>
            <w:vAlign w:val="bottom"/>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Independent Advisers Group Corporation</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IAG</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UVEST Financial Services Group,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North Carolina</w:t>
            </w:r>
          </w:p>
        </w:tc>
        <w:tc>
          <w:tcPr>
            <w:tcW w:w="3300" w:type="dxa"/>
            <w:vAlign w:val="bottom"/>
          </w:tcPr>
          <w:p>
            <w:pPr>
              <w:ind w:left="20"/>
              <w:spacing w:after="0"/>
              <w:rPr>
                <w:sz w:val="20"/>
                <w:szCs w:val="20"/>
                <w:color w:val="auto"/>
              </w:rPr>
            </w:pPr>
            <w:r>
              <w:rPr>
                <w:rFonts w:ascii="Arial" w:cs="Arial" w:eastAsia="Arial" w:hAnsi="Arial"/>
                <w:sz w:val="16"/>
                <w:szCs w:val="16"/>
                <w:color w:val="auto"/>
              </w:rPr>
              <w:t>UVEST</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LPL Insurance Associates, Inc.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LPL, LPL Financial</w:t>
            </w:r>
          </w:p>
        </w:tc>
        <w:tc>
          <w:tcPr>
            <w:tcW w:w="0" w:type="dxa"/>
            <w:vAlign w:val="bottom"/>
          </w:tcPr>
          <w:p>
            <w:pPr>
              <w:spacing w:after="0"/>
              <w:rPr>
                <w:sz w:val="1"/>
                <w:szCs w:val="1"/>
                <w:color w:val="auto"/>
              </w:rPr>
            </w:pPr>
          </w:p>
        </w:tc>
      </w:tr>
      <w:tr>
        <w:trPr>
          <w:trHeight w:val="26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Fortigent Holdings Company, Inc.**</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80"/>
        </w:trPr>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Fortigent, LLC</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Fortigent, LPL, LPL Financial</w:t>
            </w:r>
          </w:p>
        </w:tc>
        <w:tc>
          <w:tcPr>
            <w:tcW w:w="0" w:type="dxa"/>
            <w:vAlign w:val="bottom"/>
          </w:tcPr>
          <w:p>
            <w:pPr>
              <w:spacing w:after="0"/>
              <w:rPr>
                <w:sz w:val="1"/>
                <w:szCs w:val="1"/>
                <w:color w:val="auto"/>
              </w:rPr>
            </w:pPr>
          </w:p>
        </w:tc>
      </w:tr>
      <w:tr>
        <w:trPr>
          <w:trHeight w:val="251"/>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100" w:type="dxa"/>
            <w:vAlign w:val="bottom"/>
          </w:tcPr>
          <w:p>
            <w:pPr>
              <w:ind w:left="40"/>
              <w:spacing w:after="0"/>
              <w:rPr>
                <w:sz w:val="20"/>
                <w:szCs w:val="20"/>
                <w:color w:val="auto"/>
              </w:rPr>
            </w:pPr>
            <w:r>
              <w:rPr>
                <w:rFonts w:ascii="Arial" w:cs="Arial" w:eastAsia="Arial" w:hAnsi="Arial"/>
                <w:sz w:val="16"/>
                <w:szCs w:val="16"/>
                <w:color w:val="auto"/>
              </w:rPr>
              <w:t>NestWise LLC</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color w:val="auto"/>
              </w:rPr>
              <w:t>Delaware</w:t>
            </w:r>
          </w:p>
        </w:tc>
        <w:tc>
          <w:tcPr>
            <w:tcW w:w="3300" w:type="dxa"/>
            <w:vAlign w:val="bottom"/>
          </w:tcPr>
          <w:p>
            <w:pPr>
              <w:ind w:left="20"/>
              <w:spacing w:after="0"/>
              <w:rPr>
                <w:sz w:val="20"/>
                <w:szCs w:val="20"/>
                <w:color w:val="auto"/>
              </w:rPr>
            </w:pPr>
            <w:r>
              <w:rPr>
                <w:rFonts w:ascii="Arial" w:cs="Arial" w:eastAsia="Arial" w:hAnsi="Arial"/>
                <w:sz w:val="16"/>
                <w:szCs w:val="16"/>
                <w:color w:val="auto"/>
              </w:rPr>
              <w:t>NestWise</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6100" w:firstLine="8"/>
        <w:spacing w:after="0" w:line="260" w:lineRule="auto"/>
        <w:tabs>
          <w:tab w:leader="none" w:pos="10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All subsidiaries are wholly owned, directly or indirectly, by the Registrant. ** Holding companies.</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consent to the incorporation by reference in Registration Statements No. 333-172866, 333-151437, and 333-183541 on Form S-8 and Registration Statement No. 333-173703 on Form S-3 of our reports dated February 20, 2015, relating to the consolidated financial statements of LPL Financial Holdings Inc. and subsidiaries and the effectiveness of LPL Financial Holdings Inc. and subsidiaries internal control over financial reporting, appearing in the Annual Report on Form 10-K of LPL Financial Holdings Inc. and subsidiaries for the year ended December 31, 2014.</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ectPr>
          <w:pgSz w:w="11900" w:h="16838" w:orient="portrait"/>
          <w:cols w:equalWidth="0" w:num="1">
            <w:col w:w="11420"/>
          </w:cols>
          <w:pgMar w:left="240" w:top="57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40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2014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ind w:right="100" w:firstLine="250"/>
        <w:spacing w:after="0" w:line="256" w:lineRule="auto"/>
        <w:rPr>
          <w:sz w:val="20"/>
          <w:szCs w:val="20"/>
          <w:color w:val="auto"/>
        </w:rPr>
      </w:pPr>
      <w:r>
        <w:rPr>
          <w:rFonts w:ascii="Arial" w:cs="Arial" w:eastAsia="Arial" w:hAnsi="Arial"/>
          <w:sz w:val="18"/>
          <w:szCs w:val="18"/>
          <w:color w:val="auto"/>
        </w:rPr>
        <w:t>In connection with the Annual Report on Form 10-K of LPL Financial Holdings Inc. (the “Company”) for the period ending December 31, 2014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x"/>
      <w:numFmt w:val="bullet"/>
      <w:start w:val="1"/>
    </w:lvl>
  </w:abstractNum>
  <w:abstractNum w:abstractNumId="1">
    <w:nsid w:val="5577F8E1"/>
    <w:multiLevelType w:val="hybridMultilevel"/>
    <w:lvl w:ilvl="0">
      <w:lvlJc w:val="left"/>
      <w:lvlText w:val="o"/>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3"/>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2"/>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lowerRoman"/>
      <w:start w:val="1"/>
    </w:lvl>
  </w:abstractNum>
  <w:abstractNum w:abstractNumId="44">
    <w:nsid w:val="39386575"/>
    <w:multiLevelType w:val="hybridMultilevel"/>
    <w:lvl w:ilvl="0">
      <w:lvlJc w:val="left"/>
      <w:lvlText w:val="%1."/>
      <w:numFmt w:val="decimal"/>
      <w:start w:val="3"/>
    </w:lvl>
  </w:abstractNum>
  <w:abstractNum w:abstractNumId="45">
    <w:nsid w:val="1CF10FD8"/>
    <w:multiLevelType w:val="hybridMultilevel"/>
    <w:lvl w:ilvl="0">
      <w:lvlJc w:val="left"/>
      <w:lvlText w:val="%1."/>
      <w:numFmt w:val="decimal"/>
      <w:start w:val="4"/>
    </w:lvl>
  </w:abstractNum>
  <w:abstractNum w:abstractNumId="46">
    <w:nsid w:val="180115BE"/>
    <w:multiLevelType w:val="hybridMultilevel"/>
    <w:lvl w:ilvl="0">
      <w:lvlJc w:val="left"/>
      <w:lvlText w:val="%1."/>
      <w:numFmt w:val="decimal"/>
      <w:start w:val="5"/>
    </w:lvl>
  </w:abstractNum>
  <w:abstractNum w:abstractNumId="47">
    <w:nsid w:val="235BA861"/>
    <w:multiLevelType w:val="hybridMultilevel"/>
    <w:lvl w:ilvl="0">
      <w:lvlJc w:val="left"/>
      <w:lvlText w:val="%1."/>
      <w:numFmt w:val="decimal"/>
      <w:start w:val="6"/>
    </w:lvl>
  </w:abstractNum>
  <w:abstractNum w:abstractNumId="48">
    <w:nsid w:val="47398C89"/>
    <w:multiLevelType w:val="hybridMultilevel"/>
    <w:lvl w:ilvl="0">
      <w:lvlJc w:val="left"/>
      <w:lvlText w:val="%1."/>
      <w:numFmt w:val="decimal"/>
      <w:start w:val="8"/>
    </w:lvl>
  </w:abstractNum>
  <w:abstractNum w:abstractNumId="49">
    <w:nsid w:val="354FE9F9"/>
    <w:multiLevelType w:val="hybridMultilevel"/>
    <w:lvl w:ilvl="0">
      <w:lvlJc w:val="left"/>
      <w:lvlText w:val="%1."/>
      <w:numFmt w:val="decimal"/>
      <w:start w:val="9"/>
    </w:lvl>
  </w:abstractNum>
  <w:abstractNum w:abstractNumId="50">
    <w:nsid w:val="15B5AF5C"/>
    <w:multiLevelType w:val="hybridMultilevel"/>
    <w:lvl w:ilvl="0">
      <w:lvlJc w:val="left"/>
      <w:lvlText w:val="%1."/>
      <w:numFmt w:val="decimal"/>
      <w:start w:val="11"/>
    </w:lvl>
  </w:abstractNum>
  <w:abstractNum w:abstractNumId="51">
    <w:nsid w:val="741226BB"/>
    <w:multiLevelType w:val="hybridMultilevel"/>
    <w:lvl w:ilvl="0">
      <w:lvlJc w:val="left"/>
      <w:lvlText w:val="%1."/>
      <w:numFmt w:val="decimal"/>
      <w:start w:val="12"/>
    </w:lvl>
  </w:abstractNum>
  <w:abstractNum w:abstractNumId="52">
    <w:nsid w:val="D34B6A8"/>
    <w:multiLevelType w:val="hybridMultilevel"/>
    <w:lvl w:ilvl="0">
      <w:lvlJc w:val="left"/>
      <w:lvlText w:val="%1."/>
      <w:numFmt w:val="decimal"/>
      <w:start w:val="13"/>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14"/>
    </w:lvl>
  </w:abstractNum>
  <w:abstractNum w:abstractNumId="55">
    <w:nsid w:val="61574095"/>
    <w:multiLevelType w:val="hybridMultilevel"/>
    <w:lvl w:ilvl="0">
      <w:lvlJc w:val="left"/>
      <w:lvlText w:val="%1."/>
      <w:numFmt w:val="decimal"/>
      <w:start w:val="15"/>
    </w:lvl>
  </w:abstractNum>
  <w:abstractNum w:abstractNumId="56">
    <w:nsid w:val="7E0C57B1"/>
    <w:multiLevelType w:val="hybridMultilevel"/>
    <w:lvl w:ilvl="0">
      <w:lvlJc w:val="left"/>
      <w:lvlText w:val="%1."/>
      <w:numFmt w:val="decimal"/>
      <w:start w:val="16"/>
    </w:lvl>
  </w:abstractNum>
  <w:abstractNum w:abstractNumId="57">
    <w:nsid w:val="77AE35EB"/>
    <w:multiLevelType w:val="hybridMultilevel"/>
    <w:lvl w:ilvl="0">
      <w:lvlJc w:val="left"/>
      <w:lvlText w:val="%1."/>
      <w:numFmt w:val="decimal"/>
      <w:start w:val="17"/>
    </w:lvl>
  </w:abstractNum>
  <w:abstractNum w:abstractNumId="58">
    <w:nsid w:val="579BE4F1"/>
    <w:multiLevelType w:val="hybridMultilevel"/>
    <w:lvl w:ilvl="0">
      <w:lvlJc w:val="left"/>
      <w:lvlText w:val="%1."/>
      <w:numFmt w:val="decimal"/>
      <w:start w:val="18"/>
    </w:lvl>
  </w:abstractNum>
  <w:abstractNum w:abstractNumId="59">
    <w:nsid w:val="310C50B3"/>
    <w:multiLevelType w:val="hybridMultilevel"/>
    <w:lvl w:ilvl="0">
      <w:lvlJc w:val="left"/>
      <w:lvlText w:val="%1."/>
      <w:numFmt w:val="decimal"/>
      <w:start w:val="19"/>
    </w:lvl>
  </w:abstractNum>
  <w:abstractNum w:abstractNumId="60">
    <w:nsid w:val="5FF87E05"/>
    <w:multiLevelType w:val="hybridMultilevel"/>
    <w:lvl w:ilvl="0">
      <w:lvlJc w:val="left"/>
      <w:lvlText w:val="%1."/>
      <w:numFmt w:val="decimal"/>
      <w:start w:val="20"/>
    </w:lvl>
  </w:abstractNum>
  <w:abstractNum w:abstractNumId="61">
    <w:nsid w:val="2F305DEF"/>
    <w:multiLevelType w:val="hybridMultilevel"/>
    <w:lvl w:ilvl="0">
      <w:lvlJc w:val="left"/>
      <w:lvlText w:val="%1."/>
      <w:numFmt w:val="decimal"/>
      <w:start w:val="21"/>
    </w:lvl>
  </w:abstractNum>
  <w:abstractNum w:abstractNumId="62">
    <w:nsid w:val="25A70BF7"/>
    <w:multiLevelType w:val="hybridMultilevel"/>
    <w:lvl w:ilvl="0">
      <w:lvlJc w:val="left"/>
      <w:lvlText w:val="%1."/>
      <w:numFmt w:val="decimal"/>
      <w:start w:val="22"/>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2019-12-29T19:29:39Z</dcterms:created>
  <dcterms:modified xsi:type="dcterms:W3CDTF">2019-12-29T19:29:39Z</dcterms:modified>
</cp:coreProperties>
</file>